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Metcalf,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3372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Middleton, et al.)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15,</w:t>
      </w:r>
      <w:r xml:space="preserve">
        <w:t> </w:t>
      </w:r>
      <w:r>
        <w:t xml:space="preserve">2025; May</w:t>
      </w:r>
      <w:r xml:space="preserve">
        <w:t> </w:t>
      </w:r>
      <w:r>
        <w:t xml:space="preserve">16,</w:t>
      </w:r>
      <w:r xml:space="preserve">
        <w:t> </w:t>
      </w:r>
      <w:r>
        <w:t xml:space="preserve">2025, read first time and referred to Committee on Education K-16; May</w:t>
      </w:r>
      <w:r xml:space="preserve">
        <w:t> </w:t>
      </w:r>
      <w:r>
        <w:t xml:space="preserve">26,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8, Nays 3; May</w:t>
      </w:r>
      <w:r xml:space="preserve">
        <w:t> </w:t>
      </w:r>
      <w:r>
        <w:t xml:space="preserve">26,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Hagenbuch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prohibiting certain personal services performed by school district administrators; providing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11, Education Code, is amended by adding Section 11.006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ACTIVITIES BY ADMINISTRATORS.  (a)  In this section, "administrator" means a person who has significant administrative duties relating to the operation of a school district, including the operation of a campus, program, or other subdivision of the district. </w:t>
      </w:r>
      <w:r>
        <w:rPr>
          <w:u w:val="single"/>
        </w:rPr>
        <w:t xml:space="preserve"> </w:t>
      </w:r>
      <w:r>
        <w:rPr>
          <w:u w:val="single"/>
        </w:rPr>
        <w:t xml:space="preserve">The term does not include a school district employee whose employment contract responsibilities primarily include the in-classroom instruction of students.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administrator may not receive any financial benefit for the performance of personal services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business entity that conducts or solicits business with the school district that employs the administrator;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education business that provides services regarding the curriculum or administration of any school district;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school district, open-enrollment charter school, or regional education service center.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administrator who violates this section is liable to the state for a civil penalty in the amount of $10,000 for each violation.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11.201(e),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