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3402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risk mitigation planning and associated liability for providers of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by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w:t>
      </w:r>
      <w:r>
        <w:t xml:space="preserve">property loss, including windstorm, fire, </w:t>
      </w:r>
      <w:r>
        <w:rPr>
          <w:u w:val="single"/>
        </w:rPr>
        <w:t xml:space="preserve">wildfire,</w:t>
      </w:r>
      <w:r>
        <w:t xml:space="preserve"> 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damages caused by a wildfire.</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obtain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possibility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the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AFFIRMATIVE DEFENSE.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affected electric utility, electric cooperative, or municipally owned utility,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or an electric cooperative that owns a transmission or distribution facility in a wildfire risk area shall file, and a municipally owned utility or an electric utility that is also a river authority may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60th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an electric utility, municipally owned utility, or electric cooperative for which the commission has approved a plan is not liable for damages resulting from a wildfire ignited or propagated by the utility's or cooperative's facilities or actions unless a court of competent jurisdiction finds that the utility or cooperative intentionally, recklessly, or with negligence caused the damage.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liability in a civil action brought against an electric utility, municipally owned utility, or electric cooperative for personal injury or property damages caused by a wildfire ignited or propagated by the utility's or cooperative's facilities if a court of competent jurisdiction finds that the utility or cooperative was in material compliance with relevant measures of its approved plan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Public Utility Commission of Texas shall adopt any rules as necessary to implement Sections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may file a wildfire mitigation plan, as authorized by Section 38.080, Utilities Code, as added by this Act at any time after the effective date of this Act, regardless of whether the Public Utility Commission of Texas has adopted any rules described by Subsection (a) before the date of the filing; provided, however, that such a plan is still subject to review, modification, approval, or rejection under Section 38.080(c),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38.080,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