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Metcalf, et al.</w:t>
      </w:r>
      <w:r xml:space="preserve">
        <w:tab wTab="150" tlc="none" cTlc="0"/>
      </w:r>
      <w:r>
        <w:t xml:space="preserve">H.B.</w:t>
      </w:r>
      <w:r xml:space="preserve">
        <w:t> </w:t>
      </w:r>
      <w:r>
        <w:t xml:space="preserve">No.</w:t>
      </w:r>
      <w:r xml:space="preserve">
        <w:t> </w:t>
      </w:r>
      <w:r>
        <w:t xml:space="preserve">3556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minimize the impact on migratory birds of structures exceeding a certain height in certain counties containing National Wildlife Refuges and in adjacent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12, Parks and Wildlife Code, is amended by adding Section 12.023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12.023.</w:t>
      </w:r>
      <w:r>
        <w:rPr>
          <w:u w:val="single"/>
        </w:rPr>
        <w:t xml:space="preserve"> </w:t>
      </w:r>
      <w:r>
        <w:rPr>
          <w:u w:val="single"/>
        </w:rPr>
        <w:t xml:space="preserve"> </w:t>
      </w:r>
      <w:r>
        <w:rPr>
          <w:u w:val="single"/>
        </w:rPr>
        <w:t xml:space="preserve">NOTICE OF CONSTRUCTION OF CERTAIN STRUCTURES.  (a) </w:t>
      </w:r>
      <w:r>
        <w:rPr>
          <w:u w:val="single"/>
        </w:rPr>
        <w:t xml:space="preserve"> </w:t>
      </w:r>
      <w:r>
        <w:rPr>
          <w:u w:val="single"/>
        </w:rPr>
        <w:t xml:space="preserve">This section applies only in a county with a population of less than 500,000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borders the Gulf of Mexico and in which a national wildlife refuge is wholly or partly located;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contain a municipality with a population greater than 300,000 and is adjacent to a county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before a person begins construction of a structure taller than 500 feet, the person shall submit to the department a request for the department to review the project under Section 12.0011(b)(3).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45th day after a request under Subsection (b), the department shall recommend in writing measures to minimize the impact of the structure on migratory birds.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does not provide recommendations to the requestor under Subsection (c) within 45 days, the construction of the project may proceed without further delay or modification.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45th day after receiving the recommendations under Subsection (c), the requestor shall provide a written response to the department accepting the recommendations or providing alternative minimization measures in place of department recommendations not feasible based on considerations including technology or engineering limitations and cost.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Information submitted to the department under this section is not subject to Chapter 552, Government Code,</w:t>
      </w:r>
      <w:r>
        <w:rPr>
          <w:u w:val="single"/>
        </w:rPr>
        <w:t xml:space="preserve"> and may not be disclosed to any person, including a state or federal agency, without the written consent of the person submitting the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12.023, Parks and Wildlife Code, as added by this Act, applies only to a person who begins construction of a structure on or after the 180th day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