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3595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emergency preparedness and contingency operations plan, including temperature regulation, for assisted living facility residents during an emergency; providing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247, Health and Safety Code, is amended by adding Section 247.073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247.073.</w:t>
      </w:r>
      <w:r>
        <w:rPr>
          <w:u w:val="single"/>
        </w:rPr>
        <w:t xml:space="preserve"> </w:t>
      </w:r>
      <w:r>
        <w:rPr>
          <w:u w:val="single"/>
        </w:rPr>
        <w:t xml:space="preserve"> </w:t>
      </w:r>
      <w:r>
        <w:rPr>
          <w:u w:val="single"/>
        </w:rPr>
        <w:t xml:space="preserve">EMERGENCY PREPAREDNESS AND CONTINGENCY OPERATIONS PLAN; TEMPERATURE REGULATION.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"Area of refuge" means a climate-controlled area in an assisted living facility that is designated for use during a power outage, or other emergency that does not require the evacuation of the entire facility, to provide safety, care, and other resources to residents.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"Bedfast resident" means an assisted living facility resident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unable to transfer out of bed and unable to turn and position themselves in bed;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be transported by another person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assisted living facility shall adopt and implement an emergency preparedness and contingency operations plan that requires the facility to provide in the event of a power outage: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assisted living facility resident other than a bedfast resident, a climate-controlled area of refuge with at least 15 square feet per resident;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bedfast resident, a climate-controlled room;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notice to the commission of an unplanned interruption or loss for more than 12 hours of electric utility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emergency preparedness and contingency operations plan adopted in accordance with this section must require an assisted living facility to maintain a temperature between 68 and 82 degrees Fahrenheit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area of refuge designated for assisted living facility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climate-controlled room for bedfast residents.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to enforce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establish construction and licensure standards for assisted living facilities for which a permit is issued to begin construction after September 1, 2026, including standards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backup power systems, such as the integration of multiple backup power sources or the use of a generator connection box to connect a building of the facility to a backup power 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evacuation of assisted living facility residents to an area of refuge or climate-controlled room, as applicable, in emergencies.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assisted living facility on request shall make the emergency preparedness and contingency operations plan required by this section available to the commission in the form and manner prescribed by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assisted living facility shall include in the emergency preparedness and contingency operations plan adopted in accordance with this section its policies and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building equipment, if any, including the location of and type of on-site generator equipment or backup power 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assisted living facility residents, including bedfast residents and residents who are dependent on electrically powered medical equipment.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request, an assisted living facility shall provide a summary of the facility's emergency preparedness and contingency operations plan adopted in accordance with this section to a facility resident or a resident's family member.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may assess a penalty in accordance with Subchapter C against an assisted living facility found in violation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To the extent of any conflict, this section and rules adopted under this section preempt and supersede any ordinance, resolution, rule, or other regulation adopted by a political subdivision of this state relating to emergency preparedness and contingency operations planning for assisted living facility residents during an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1, 2026, each assisted living facility shall adopt and implement an emergency preparedness and contingency operations plan as required by Section 247.073, Health and Safety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247.073(e), Health and Safety Code, as added by this Act, an assisted living facility is not required to comply with the construction and licensure standards established under that subsection before the later of:</w:t>
      </w:r>
    </w:p>
    <w:p w:rsidR="003F3435" w:rsidRDefault="0032493E">
      <w:pPr>
        <w:spacing w:line="480" w:lineRule="auto"/>
        <w:ind w:firstLine="1440"/>
        <w:jc w:val="both"/>
      </w:pPr>
      <w:r>
        <w:t xml:space="preserve">(1)</w:t>
      </w:r>
      <w:r xml:space="preserve">
        <w:t> </w:t>
      </w:r>
      <w:r xml:space="preserve">
        <w:t> </w:t>
      </w:r>
      <w:r>
        <w:t xml:space="preserve">the first date that the assisted living facility is issued a new or renewal license under Chapter 247, Health and Safety Code, on or after September 1, 2026; or</w:t>
      </w:r>
    </w:p>
    <w:p w:rsidR="003F3435" w:rsidRDefault="0032493E">
      <w:pPr>
        <w:spacing w:line="480" w:lineRule="auto"/>
        <w:ind w:firstLine="1440"/>
        <w:jc w:val="both"/>
      </w:pPr>
      <w:r>
        <w:t xml:space="preserve">(2)</w:t>
      </w:r>
      <w:r xml:space="preserve">
        <w:t> </w:t>
      </w:r>
      <w:r xml:space="preserve">
        <w:t> </w:t>
      </w:r>
      <w:r>
        <w:t xml:space="preserve">January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3595 was passed by the House on April 29, 2025, by the following vote:</w:t>
      </w:r>
      <w:r xml:space="preserve">
        <w:t> </w:t>
      </w:r>
      <w:r xml:space="preserve">
        <w:t> </w:t>
      </w:r>
      <w:r>
        <w:t xml:space="preserve">Yeas 116, Nays 30, 2 present, not voting; that the House refused to concur in Senate amendments to H.B. No. 3595 on May 29, 2025, and requested the appointment of a conference committee to consider the differences between the two houses; and that the House adopted the conference committee report on H.B. No. 3595 on May 31, 2025, by the following vote:</w:t>
      </w:r>
      <w:r xml:space="preserve">
        <w:t> </w:t>
      </w:r>
      <w:r xml:space="preserve">
        <w:t> </w:t>
      </w:r>
      <w:r>
        <w:t xml:space="preserve">Yeas 110, Nays 23,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3595 was passed by the Senate, with amendments, on May 26, 2025, by the following vote:</w:t>
      </w:r>
      <w:r xml:space="preserve">
        <w:t> </w:t>
      </w:r>
      <w:r xml:space="preserve">
        <w:t> </w:t>
      </w:r>
      <w:r>
        <w:t xml:space="preserve">Yeas 30, Nays 1; at the request of the House, the Senate appointed a conference committee to consider the differences between the two houses; and that the Senate adopted the conference committee report on H.B. No. 3595 on May 31, 2025, by the following vote:</w:t>
      </w:r>
      <w:r xml:space="preserve">
        <w:t> </w:t>
      </w:r>
      <w:r xml:space="preserve">
        <w:t> </w:t>
      </w:r>
      <w:r>
        <w:t xml:space="preserve">Yeas 22, Nays 9.</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