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3597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public hearing requirements for issuing a license for or expanding certain residential child-care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42.0461(a), Human Resources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Before the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may issue a license or certificate for the operation or the expansion of the capacity of a general residential operation, a cottage home operation, or a continuum-of-care residential operation that is located in a county with a population of less than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300,000</w:t>
      </w:r>
      <w:r>
        <w:t xml:space="preserve">], the applicant for the license, certificate, or expansion shall, at the applicant's expense: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conduct a public hearing on the application in accordance with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rules after notifying the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of the date, time, and location of the hearing;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publish notice of the application in a newspaper of general circulation in the community in which the child-care services are proposed to be provided.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3597 was passed by the House on May 6, 2025, by the following vote:</w:t>
      </w:r>
      <w:r xml:space="preserve">
        <w:t> </w:t>
      </w:r>
      <w:r xml:space="preserve">
        <w:t> </w:t>
      </w:r>
      <w:r>
        <w:t xml:space="preserve">Yeas 148, Nays 0,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3597 was passed by the Senate on May 25,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3597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