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89R22863 DNC-F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Hickland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3597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3597: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Hull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3597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public hearing requirements for issuing a license for or expanding certain residential child-care facilities.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42.0461(a), Human Resources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Before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may issue a license or certificate for the operation or the expansion of the capacity of a general residential operation, a cottage home operation, or a continuum-of-care residential operation that is located in a county with a population of less than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300,000</w:t>
      </w:r>
      <w:r>
        <w:t xml:space="preserve">], the applicant for the license, certificate, or expansion shall, at the applicant's expense: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conduct a public hearing on the application in accordance with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rules after notifying the </w:t>
      </w:r>
      <w:r>
        <w:rPr>
          <w:u w:val="single"/>
        </w:rPr>
        <w:t xml:space="preserve">commission</w:t>
      </w:r>
      <w:r>
        <w:t xml:space="preserve"> </w:t>
      </w:r>
      <w:r>
        <w:t xml:space="preserve">[</w:t>
      </w:r>
      <w:r>
        <w:rPr>
          <w:strike/>
        </w:rPr>
        <w:t xml:space="preserve">department</w:t>
      </w:r>
      <w:r>
        <w:t xml:space="preserve">] of the date, time, and location of the hearing;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publish notice of the application in a newspaper of general circulation in the community in which the child-care services are proposed to be provided.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3597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