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Hickland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Kolkhorst)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3597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6,</w:t>
      </w:r>
      <w:r xml:space="preserve">
        <w:t> </w:t>
      </w:r>
      <w:r>
        <w:t xml:space="preserve">2025; May</w:t>
      </w:r>
      <w:r xml:space="preserve">
        <w:t> </w:t>
      </w:r>
      <w:r>
        <w:t xml:space="preserve">7,</w:t>
      </w:r>
      <w:r xml:space="preserve">
        <w:t> </w:t>
      </w:r>
      <w:r>
        <w:t xml:space="preserve">2025, read first time and referred to Committee on Health &amp; Human Services;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8, Nays 0; May</w:t>
      </w:r>
      <w:r xml:space="preserve">
        <w:t> </w:t>
      </w:r>
      <w:r>
        <w:t xml:space="preserve">15,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public hearing requirements for issuing a license for or expanding certain residential child-care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42.0461(a), Human Resources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Before the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may issue a license or certificate for the operation or the expansion of the capacity of a general residential operation, a cottage home operation, or a continuum-of-care residential operation that is located in a county with a population of less than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300,000</w:t>
      </w:r>
      <w:r>
        <w:t xml:space="preserve">], the applicant for the license, certificate, or expansion shall, at the applicant's expense: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conduct a public hearing on the application in accordance with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rules after notifying the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of the date, time, and location of the hearing;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publish notice of the application in a newspaper of general circulation in the community in which the child-care services are proposed to be provided.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3597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