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3611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393.001, Transportation Code, is amended to read as follows:</w:t>
      </w:r>
    </w:p>
    <w:p w:rsidR="003F3435" w:rsidRDefault="0032493E">
      <w:pPr>
        <w:spacing w:line="480" w:lineRule="auto"/>
        <w:ind w:firstLine="720"/>
        <w:jc w:val="both"/>
      </w:pPr>
      <w:r>
        <w:t xml:space="preserve">Sec.</w:t>
      </w:r>
      <w:r xml:space="preserve">
        <w:t> </w:t>
      </w:r>
      <w:r>
        <w:t xml:space="preserve">393.001.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 includes a person's employee, agent, independent contractor, assignee, business alter ego, and successor in interest.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w:t>
      </w:r>
      <w:r>
        <w:t xml:space="preserve"> [</w:t>
      </w:r>
      <w:r>
        <w:rPr>
          <w:strike/>
        </w:rPr>
        <w:t xml:space="preserve">, "sign"</w:t>
      </w:r>
      <w:r>
        <w:t xml:space="preserve">] means an outdoor sign, display, light, device, figure, painting, drawing, message, plaque, poster, or other thing designed, intended, or used to advertise or inform.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393.007, Transportation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w:t>
      </w:r>
      <w:r>
        <w:rPr>
          <w:u w:val="single"/>
        </w:rPr>
        <w:t xml:space="preserve">, provided that, for a person's first violation: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political subdivision provides written notice to the person that the person may be liable for a civil penalty if the person fails to remove the sign within a specified period;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fails to remove the sign within the specified period</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3611 was passed by the House on April 30, 2025, by the following vote:</w:t>
      </w:r>
      <w:r xml:space="preserve">
        <w:t> </w:t>
      </w:r>
      <w:r xml:space="preserve">
        <w:t> </w:t>
      </w:r>
      <w:r>
        <w:t xml:space="preserve">Yeas 112, Nays 23,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3611 was passed by the Senate on May 19, 2025, by the following vote:</w:t>
      </w:r>
      <w:r xml:space="preserve">
        <w:t> </w:t>
      </w:r>
      <w:r xml:space="preserve">
        <w:t> </w:t>
      </w:r>
      <w:r>
        <w:t xml:space="preserve">Yeas 26, Nays 5.</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