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et al.</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3611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5,</w:t>
      </w:r>
      <w:r xml:space="preserve">
        <w:t> </w:t>
      </w:r>
      <w:r>
        <w:t xml:space="preserve">2025, read first time and referred to Committee on Transportation; May</w:t>
      </w:r>
      <w:r xml:space="preserve">
        <w:t> </w:t>
      </w:r>
      <w:r>
        <w:t xml:space="preserve">14,</w:t>
      </w:r>
      <w:r xml:space="preserve">
        <w:t> </w:t>
      </w:r>
      <w:r>
        <w:t xml:space="preserve">2025, reported favorably by the following vote:</w:t>
      </w:r>
      <w:r>
        <w:t xml:space="preserve"> </w:t>
      </w:r>
      <w:r>
        <w:t xml:space="preserve"> </w:t>
      </w:r>
      <w:r>
        <w:t xml:space="preserve">Yeas 9, Nays 0; May</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393.001, Transportation Code, is amended to read as follows:</w:t>
      </w:r>
    </w:p>
    <w:p w:rsidR="003F3435" w:rsidRDefault="0032493E">
      <w:pPr>
        <w:spacing w:line="480" w:lineRule="auto"/>
        <w:ind w:firstLine="720"/>
        <w:jc w:val="both"/>
      </w:pPr>
      <w:r>
        <w:t xml:space="preserve">Sec.</w:t>
      </w:r>
      <w:r xml:space="preserve">
        <w:t> </w:t>
      </w:r>
      <w:r>
        <w:t xml:space="preserve">393.001.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 includes a person's employee, agent, independent contractor, assignee, business alter ego, and successor in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w:t>
      </w:r>
      <w:r>
        <w:t xml:space="preserve"> [</w:t>
      </w:r>
      <w:r>
        <w:rPr>
          <w:strike/>
        </w:rPr>
        <w:t xml:space="preserve">, "sign"</w:t>
      </w:r>
      <w:r>
        <w:t xml:space="preserve">] means an outdoor sign, display, light, device, figure, painting, drawing, message, plaque, poster, or other thing designed, intended, or used to advertise or inform.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393.007, Transportation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w:t>
      </w:r>
      <w:r>
        <w:rPr>
          <w:u w:val="single"/>
        </w:rPr>
        <w:t xml:space="preserve">, provided that, for a person's first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political subdivision provides written notice to the person that the person may be liable for a civil penalty if the person fails to remove the sign within a specified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fails to remove the sign within the specified period</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