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89R11677 SCF-D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Ashby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3630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political subdivision to regulate fire prevention standards for certain agricultural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250, Local Government Code, is amended by adding Section 250.014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250.014.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RESTRICTION ON REGULATION OF CERTAIN AGRICULTURAL FACILITIES.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"Agricultural pole barn" means a nonresidential farm building in which 70 percent or more of the perimeter walls are permanently open and allow free ingress and egress.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"Nonresidential farm building" means any temporary or permanent building on a farm, ranch, or other agricultural facility that is used primarily for agricultural purposes and not intended to be used as a residential dwelling. </w:t>
      </w:r>
      <w:r>
        <w:rPr>
          <w:u w:val="single"/>
        </w:rPr>
        <w:t xml:space="preserve"> </w:t>
      </w:r>
      <w:r>
        <w:rPr>
          <w:u w:val="single"/>
        </w:rPr>
        <w:t xml:space="preserve">The term includes a barn, greenhouse, shade house, farm office, storage building, workshop, poultry house, animal handling facility, or commodity storage and feed processing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political subdivision may not adopt or enforce an ordinance, order, or other measure that requires the installation of a fire protection sprinkler system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agricultural pole barn;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nonresidential farm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 gin;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livestock market, as that term is defined by Section 161.111, Agriculture Code;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commercial feed mill.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3630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