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w:t xml:space="preserve"> (Senate Sponsor</w:t>
      </w:r>
      <w:r xml:space="preserve">
        <w:t> </w:t>
      </w:r>
      <w:r>
        <w:t xml:space="preserve">-</w:t>
      </w:r>
      <w:r xml:space="preserve">
        <w:t> </w:t>
      </w:r>
      <w:r>
        <w:t xml:space="preserve">Alvarado)</w:t>
      </w:r>
      <w:r xml:space="preserve">
        <w:tab wTab="150" tlc="none" cTlc="0"/>
      </w:r>
      <w:r>
        <w:t xml:space="preserve">H.B.</w:t>
      </w:r>
      <w:r xml:space="preserve">
        <w:t> </w:t>
      </w:r>
      <w:r>
        <w:t xml:space="preserve">No.</w:t>
      </w:r>
      <w:r xml:space="preserve">
        <w:t> </w:t>
      </w:r>
      <w:r>
        <w:t xml:space="preserve">3699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Economic Development; May</w:t>
      </w:r>
      <w:r xml:space="preserve">
        <w:t> </w:t>
      </w:r>
      <w:r>
        <w:t xml:space="preserve">14,</w:t>
      </w:r>
      <w:r xml:space="preserve">
        <w:t> </w:t>
      </w:r>
      <w:r>
        <w:t xml:space="preserve">2025, reported favorably by the following vote:</w:t>
      </w:r>
      <w:r>
        <w:t xml:space="preserve"> </w:t>
      </w:r>
      <w:r>
        <w:t xml:space="preserve"> </w:t>
      </w:r>
      <w:r>
        <w:t xml:space="preserve">Yeas 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initial claims under the unemployment compensation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208.002(a), Labor Code, is amended to read as follows:</w:t>
      </w:r>
    </w:p>
    <w:p w:rsidR="003F3435" w:rsidRDefault="0032493E">
      <w:pPr>
        <w:spacing w:line="480" w:lineRule="auto"/>
        <w:ind w:firstLine="720"/>
        <w:jc w:val="both"/>
      </w:pPr>
      <w:r>
        <w:t xml:space="preserve">(a)</w:t>
      </w:r>
      <w:r xml:space="preserve">
        <w:t> </w:t>
      </w:r>
      <w:r xml:space="preserve">
        <w:t> </w:t>
      </w:r>
      <w:r>
        <w:t xml:space="preserve">When used in connection with an initial claim, "last work" and "person for whom the claimant last worked" refer to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last person for whom the claimant actually worked, if the claimant worked for that person for at least 30 hours during a week;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employer, as defined by Subchapter C, Chapter 201, [</w:t>
      </w:r>
      <w:r>
        <w:rPr>
          <w:strike/>
        </w:rPr>
        <w:t xml:space="preserve">or by the unemployment law of any other state,</w:t>
      </w:r>
      <w:r>
        <w:t xml:space="preserve">] for whom the claimant last worked</w:t>
      </w:r>
      <w:r>
        <w:rPr>
          <w:u w:val="single"/>
        </w:rPr>
        <w:t xml:space="preserve">, unless otherwise provided by state or federal law</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claim for unemployment compensation benefits filed with the Texas Workforce Commission on or after the effective date of this Act. A claim filed before the effective date of this Act is governed by the law in effect on the date the claim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