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Vo, et al.</w:t>
      </w:r>
      <w:r>
        <w:t xml:space="preserve"> (Senate Sponsor</w:t>
      </w:r>
      <w:r xml:space="preserve">
        <w:t> </w:t>
      </w:r>
      <w:r>
        <w:t xml:space="preserve">-</w:t>
      </w:r>
      <w:r xml:space="preserve">
        <w:t> </w:t>
      </w:r>
      <w:r>
        <w:t xml:space="preserve">King, et al.)</w:t>
      </w:r>
      <w:r xml:space="preserve">
        <w:tab wTab="150" tlc="none" cTlc="0"/>
      </w:r>
      <w:r>
        <w:t xml:space="preserve">H.B.</w:t>
      </w:r>
      <w:r xml:space="preserve">
        <w:t> </w:t>
      </w:r>
      <w:r>
        <w:t xml:space="preserve">No.</w:t>
      </w:r>
      <w:r xml:space="preserve">
        <w:t> </w:t>
      </w:r>
      <w:r>
        <w:t xml:space="preserve">3700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23,</w:t>
      </w:r>
      <w:r xml:space="preserve">
        <w:t> </w:t>
      </w:r>
      <w:r>
        <w:t xml:space="preserve">2025; April</w:t>
      </w:r>
      <w:r xml:space="preserve">
        <w:t> </w:t>
      </w:r>
      <w:r>
        <w:t xml:space="preserve">28,</w:t>
      </w:r>
      <w:r xml:space="preserve">
        <w:t> </w:t>
      </w:r>
      <w:r>
        <w:t xml:space="preserve">2025, read first time and referred to Committee on Economic Development; May</w:t>
      </w:r>
      <w:r xml:space="preserve">
        <w:t> </w:t>
      </w:r>
      <w:r>
        <w:t xml:space="preserve">14,</w:t>
      </w:r>
      <w:r xml:space="preserve">
        <w:t> </w:t>
      </w:r>
      <w:r>
        <w:t xml:space="preserve">2025, reported favorably by the following vote:</w:t>
      </w:r>
      <w:r>
        <w:t xml:space="preserve"> </w:t>
      </w:r>
      <w:r>
        <w:t xml:space="preserve"> </w:t>
      </w:r>
      <w:r>
        <w:t xml:space="preserve">Yeas 5, Nays 0; May</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prevention, detection, and investigation of fraud, waste, and abuse in programs administered by the Texas Workforce Commission or by the commission's contractors or grantees.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301, Labor Code, is amended by adding Subchapter L to read as follows:</w:t>
      </w:r>
    </w:p>
    <w:p w:rsidR="003F3435" w:rsidRDefault="0032493E">
      <w:pPr>
        <w:spacing w:line="480" w:lineRule="auto"/>
        <w:jc w:val="center"/>
      </w:pPr>
      <w:r>
        <w:rPr>
          <w:u w:val="single"/>
        </w:rPr>
        <w:t xml:space="preserve">SUBCHAPTER L. </w:t>
      </w:r>
      <w:r>
        <w:rPr>
          <w:u w:val="single"/>
        </w:rPr>
        <w:t xml:space="preserve"> </w:t>
      </w:r>
      <w:r>
        <w:rPr>
          <w:u w:val="single"/>
        </w:rPr>
        <w:t xml:space="preserve">PREVENTION, DETECTION, AND INVESTIGATION OF  FRAUD, WASTE, AND ABUSE IN COMMISSION PROGRAMS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301.201.</w:t>
      </w:r>
      <w:r>
        <w:rPr>
          <w:u w:val="single"/>
        </w:rPr>
        <w:t xml:space="preserve"> </w:t>
      </w:r>
      <w:r>
        <w:rPr>
          <w:u w:val="single"/>
        </w:rPr>
        <w:t xml:space="preserve"> </w:t>
      </w:r>
      <w:r>
        <w:rPr>
          <w:u w:val="single"/>
        </w:rPr>
        <w:t xml:space="preserve">PREVENTION, DETECTION, AND INVESTIGATION OF FRAUD, WASTE, AND ABUSE. </w:t>
      </w:r>
      <w:r>
        <w:rPr>
          <w:u w:val="single"/>
        </w:rPr>
        <w:t xml:space="preserve"> </w:t>
      </w:r>
      <w:r>
        <w:rPr>
          <w:u w:val="single"/>
        </w:rPr>
        <w:t xml:space="preserve">(a) </w:t>
      </w:r>
      <w:r>
        <w:rPr>
          <w:u w:val="single"/>
        </w:rPr>
        <w:t xml:space="preserve"> </w:t>
      </w:r>
      <w:r>
        <w:rPr>
          <w:u w:val="single"/>
        </w:rPr>
        <w:t xml:space="preserve">The commission shall develop:</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procedures to prevent, detect, and investigate fraud, waste, and abuse in programs administered: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by the commission;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under contract with the commission;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by a person awarded a grant by the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systems to detect fraud, waste, and abuse in the administration, provision, and delivery of programs described by Subdivision (1);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methods for a person to report to the commission fraud, waste, or abuse in the delivery of programs described by Subdivision (1), including an option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reporting through the commission's publicly available Internet website; and</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anonymous reporting by an employee of the commission.</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obtain any information or technology necessary to enable the commission to meet its responsibilities   under this subchapter or other law in regard to the prevention, detection, and investigation of fraud, waste, and abuse in commission programs.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September 1 of each year, the commission shall submit to the legislature a written report that includes for each report of fraud, waste, or abuse in a program described by Subsection (a)(1) received by the commission under this section in the most recent calendar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the report;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findings made by the commission in investigating the report; and</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fraud, waste, or abuse was found in investigating the report, any actions taken by the commission to resolve the matter.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may not terminate or otherwise retaliate against an employee who in good faith reports to the commission under this section fraud, waste, or abuse in the delivery of programs described by Subsection (a)(1).</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Workforce Commission shall submit the initial report required by Section 301.201(c), Labor Code, as added by this Act, not later than September 1, 2026.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3700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