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89R15353 AJZ-F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Manuel, Plesa, Simmons</w:t>
      </w:r>
      <w:r xml:space="preserve">
        <w:tab wTab="150" tlc="none" cTlc="0"/>
      </w:r>
      <w:r>
        <w:t xml:space="preserve">H.B.</w:t>
      </w:r>
      <w:r xml:space="preserve">
        <w:t> </w:t>
      </w:r>
      <w:r>
        <w:t xml:space="preserve">No.</w:t>
      </w:r>
      <w:r xml:space="preserve">
        <w:t> </w:t>
      </w:r>
      <w:r>
        <w:t xml:space="preserve">3745</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crime victims' compensation.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Article 56B.102, Code of Criminal Procedure, is amended by amending Subsection (a) and adding Subsection (d) to read as follows:</w:t>
      </w:r>
    </w:p>
    <w:p w:rsidR="003F3435" w:rsidRDefault="0032493E">
      <w:pPr>
        <w:spacing w:line="480" w:lineRule="auto"/>
        <w:ind w:firstLine="720"/>
        <w:jc w:val="both"/>
      </w:pPr>
      <w:r>
        <w:t xml:space="preserve">(a)</w:t>
      </w:r>
      <w:r xml:space="preserve">
        <w:t> </w:t>
      </w:r>
      <w:r xml:space="preserve">
        <w:t> </w:t>
      </w:r>
      <w:r>
        <w:rPr>
          <w:u w:val="single"/>
        </w:rPr>
        <w:t xml:space="preserve">The</w:t>
      </w:r>
      <w:r>
        <w:t xml:space="preserve"> [</w:t>
      </w:r>
      <w:r>
        <w:rPr>
          <w:strike/>
        </w:rPr>
        <w:t xml:space="preserve">Before acting on an application for compensation under this chapter, the</w:t>
      </w:r>
      <w:r>
        <w:t xml:space="preserve">] attorney general may make an emergency award </w:t>
      </w:r>
      <w:r>
        <w:rPr>
          <w:u w:val="single"/>
        </w:rPr>
        <w:t xml:space="preserve">for anticipated pecuniary losses</w:t>
      </w:r>
      <w:r>
        <w:t xml:space="preserve"> if it appears likely that:</w:t>
      </w:r>
    </w:p>
    <w:p w:rsidR="003F3435" w:rsidRDefault="0032493E">
      <w:pPr>
        <w:spacing w:line="480" w:lineRule="auto"/>
        <w:ind w:firstLine="1440"/>
        <w:jc w:val="both"/>
      </w:pPr>
      <w:r>
        <w:t xml:space="preserve">(1)</w:t>
      </w:r>
      <w:r xml:space="preserve">
        <w:t> </w:t>
      </w:r>
      <w:r xml:space="preserve">
        <w:t> </w:t>
      </w:r>
      <w:r>
        <w:t xml:space="preserve">a final award will be made; and</w:t>
      </w:r>
    </w:p>
    <w:p w:rsidR="003F3435" w:rsidRDefault="0032493E">
      <w:pPr>
        <w:spacing w:line="480" w:lineRule="auto"/>
        <w:ind w:firstLine="1440"/>
        <w:jc w:val="both"/>
      </w:pPr>
      <w:r>
        <w:t xml:space="preserve">(2)</w:t>
      </w:r>
      <w:r xml:space="preserve">
        <w:t> </w:t>
      </w:r>
      <w:r xml:space="preserve">
        <w:t> </w:t>
      </w:r>
      <w:r>
        <w:t xml:space="preserve">the claimant or victim will suffer undue hardship if immediate economic relief is not obtained.</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limitations on emergency awards described by Subsections (a)(1) and (c) do not apply to an application for compensation under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made by a claimant in relation to a deceased victim;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arising from criminally injurious conduct that resulted in a proclaimed state of emergency under Section 433.001, Government Code.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Article 56B.102, Code of Criminal Procedure, as amended by this Act, applies only to compensation for criminally injurious conduct occurring on or after the effective date of this Act. </w:t>
      </w:r>
      <w:r>
        <w:t xml:space="preserve"> </w:t>
      </w:r>
      <w:r>
        <w:t xml:space="preserve">Compensation for criminally injurious conduct occurring before the effective date of this Act is governed by the law in effect on the date the conduct occurred, and the former law is continued in effect for that purpose. </w:t>
      </w:r>
      <w:r>
        <w:t xml:space="preserve"> </w:t>
      </w:r>
      <w:r>
        <w:t xml:space="preserve">For purposes of this section, criminally injurious conduct occurred before the effective date of this Act if any element of the offense underlying the conduct occurred before that date.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3745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