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89R14895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w:t>
      </w:r>
      <w:r xml:space="preserve">
        <w:tab wTab="150" tlc="none" cTlc="0"/>
      </w:r>
      <w:r>
        <w:t xml:space="preserve">H.B.</w:t>
      </w:r>
      <w:r xml:space="preserve">
        <w:t> </w:t>
      </w:r>
      <w:r>
        <w:t xml:space="preserve">No.</w:t>
      </w:r>
      <w:r xml:space="preserve">
        <w:t> </w:t>
      </w:r>
      <w:r>
        <w:t xml:space="preserve">3830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certain watershed protection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N to read as follows:</w:t>
      </w:r>
    </w:p>
    <w:p w:rsidR="003F3435" w:rsidRDefault="0032493E">
      <w:pPr>
        <w:spacing w:line="480" w:lineRule="auto"/>
        <w:jc w:val="center"/>
      </w:pPr>
      <w:r>
        <w:rPr>
          <w:u w:val="single"/>
        </w:rPr>
        <w:t xml:space="preserve">SUBCHAPTER N.  TAX CREDIT FOR CERTAIN WATERSHED PROTECTION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waste" has the meaning assigned by Section 26.001,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"Concentrated animal feeding operation" has the meaning assigned by 30 T.A.C. Section 321.32 on the effective date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sole source impairment zone" has the meaning assigned by Section 26.502,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171.702.</w:t>
      </w:r>
      <w:r>
        <w:rPr>
          <w:u w:val="single"/>
        </w:rPr>
        <w:t xml:space="preserve"> </w:t>
      </w:r>
      <w:r>
        <w:rPr>
          <w:u w:val="single"/>
        </w:rPr>
        <w:t xml:space="preserve"> </w:t>
      </w:r>
      <w:r>
        <w:rPr>
          <w:u w:val="single"/>
        </w:rPr>
        <w:t xml:space="preserve">ELIGIBILITY FOR CREDIT.  A taxable entity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171.703.</w:t>
      </w:r>
      <w:r>
        <w:rPr>
          <w:u w:val="single"/>
        </w:rPr>
        <w:t xml:space="preserve"> </w:t>
      </w:r>
      <w:r>
        <w:rPr>
          <w:u w:val="single"/>
        </w:rPr>
        <w:t xml:space="preserve"> </w:t>
      </w:r>
      <w:r>
        <w:rPr>
          <w:u w:val="single"/>
        </w:rPr>
        <w:t xml:space="preserve">QUALIFICATION.  A taxable entity qualifies for a credit under this subchapter if during the period covered by a report the taxable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 concentrated animal feeding operation: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a permit issued under Subchapter L, Chapter 26, Water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located in a major sole source impairment zone;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transports agricultural waste outside of the major sole source impairment zone for disposal, use, or application to a waste management unit or waste application field located outside of the zone.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171.704.</w:t>
      </w:r>
      <w:r>
        <w:rPr>
          <w:u w:val="single"/>
        </w:rPr>
        <w:t xml:space="preserve"> </w:t>
      </w:r>
      <w:r>
        <w:rPr>
          <w:u w:val="single"/>
        </w:rPr>
        <w:t xml:space="preserve"> </w:t>
      </w:r>
      <w:r>
        <w:rPr>
          <w:u w:val="single"/>
        </w:rPr>
        <w:t xml:space="preserve">AMOUNT OF CREDIT; LIMITATION. (a) Subject to Subsection (b), the amount of credit for a report is equal to the total costs of fuel, labor, and equipment used to transport waste as described by Section 171.703(2) during the period covered by the report.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credit for a report, including the amount of any carryforward under Section 171.705, may not exceed 50 percent of the franchise tax due for the report after all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171.705.</w:t>
      </w:r>
      <w:r>
        <w:rPr>
          <w:u w:val="single"/>
        </w:rPr>
        <w:t xml:space="preserve"> </w:t>
      </w:r>
      <w:r>
        <w:rPr>
          <w:u w:val="single"/>
        </w:rPr>
        <w:t xml:space="preserve"> </w:t>
      </w:r>
      <w:r>
        <w:rPr>
          <w:u w:val="single"/>
        </w:rPr>
        <w:t xml:space="preserve">CARRYFORWARD.  (a) A taxable entity that is eligible for a credit that exceeds the limitation under Section 171.704(b) may carry the unused credit forward for not more than 10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Credits, including credit carryforwards, are considered to be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credit carryforward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for the period on which the report is based.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171.706.</w:t>
      </w:r>
      <w:r>
        <w:rPr>
          <w:u w:val="single"/>
        </w:rPr>
        <w:t xml:space="preserve"> </w:t>
      </w:r>
      <w:r>
        <w:rPr>
          <w:u w:val="single"/>
        </w:rPr>
        <w:t xml:space="preserve"> </w:t>
      </w:r>
      <w:r>
        <w:rPr>
          <w:u w:val="single"/>
        </w:rPr>
        <w:t xml:space="preserve">ASSIGNMENT PROHIBITED; EXCEPTION.  A taxable entity may not convey, assign, or transfer the credit allowed under this subchapter to another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171.707.</w:t>
      </w:r>
      <w:r>
        <w:rPr>
          <w:u w:val="single"/>
        </w:rPr>
        <w:t xml:space="preserve"> </w:t>
      </w:r>
      <w:r>
        <w:rPr>
          <w:u w:val="single"/>
        </w:rPr>
        <w:t xml:space="preserve"> </w:t>
      </w:r>
      <w:r>
        <w:rPr>
          <w:u w:val="single"/>
        </w:rPr>
        <w:t xml:space="preserve">APPLICATION FOR CREDIT.  A taxable entity must apply for a credit under this subchapter on or with the report for the period for which the credit is claimed and submit any information requested by the comptroller to determine the entity's eligibility for the credit or the amount of the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171.708.</w:t>
      </w:r>
      <w:r>
        <w:rPr>
          <w:u w:val="single"/>
        </w:rPr>
        <w:t xml:space="preserve"> </w:t>
      </w:r>
      <w:r>
        <w:rPr>
          <w:u w:val="single"/>
        </w:rPr>
        <w:t xml:space="preserve"> </w:t>
      </w:r>
      <w:r>
        <w:rPr>
          <w:u w:val="single"/>
        </w:rPr>
        <w:t xml:space="preserve">RULES.  The comptroller shall adopt rules and forms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171.709.</w:t>
      </w:r>
      <w:r>
        <w:rPr>
          <w:u w:val="single"/>
        </w:rPr>
        <w:t xml:space="preserve"> </w:t>
      </w:r>
      <w:r>
        <w:rPr>
          <w:u w:val="single"/>
        </w:rPr>
        <w:t xml:space="preserve"> </w:t>
      </w:r>
      <w:r>
        <w:rPr>
          <w:u w:val="single"/>
        </w:rPr>
        <w:t xml:space="preserve">REPORTING OF ESTIMATES AND COLLECTION OF INFORMATION.  (a)  Before the beginning of each regular session of the legislature, the comptroller shall submit to the legislature and the governor an estimate for the preceding fiscal biennium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taxable entities that applied for a credit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credits received under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credits carried forward under Section 171.705.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provide the estimate required by this section as part of the report required by Section 403.014,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171.710.</w:t>
      </w:r>
      <w:r>
        <w:rPr>
          <w:u w:val="single"/>
        </w:rPr>
        <w:t xml:space="preserve"> </w:t>
      </w:r>
      <w:r>
        <w:rPr>
          <w:u w:val="single"/>
        </w:rPr>
        <w:t xml:space="preserve"> </w:t>
      </w:r>
      <w:r>
        <w:rPr>
          <w:u w:val="single"/>
        </w:rPr>
        <w:t xml:space="preserve">EXPIRATION; EXCEPTION.  (a)  This subchapter expires December 31, 2035.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the carryforward of a credit under Section 171.705 or a credit for which an entity applies after the date this subchapter expires based on a cost for which a taxable entity became eligible for a credit before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171, Tax Code, as added by this Act, applies only to a report originally due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