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Metcalf</w:t>
      </w:r>
      <w:r xml:space="preserve">
        <w:tab wTab="150" tlc="none" cTlc="0"/>
      </w:r>
      <w:r>
        <w:t xml:space="preserve">H.B.</w:t>
      </w:r>
      <w:r xml:space="preserve">
        <w:t> </w:t>
      </w:r>
      <w:r>
        <w:t xml:space="preserve">No.</w:t>
      </w:r>
      <w:r xml:space="preserve">
        <w:t> </w:t>
      </w:r>
      <w:r>
        <w:t xml:space="preserve">3887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requirement for performance and payment bonds from certain contractors of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11.0171, Parks and Wildlife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the value of a contract under Subsection (a)</w:t>
      </w:r>
      <w:r>
        <w:rPr>
          <w:u w:val="single"/>
        </w:rPr>
        <w:t xml:space="preserve">(2) for constructing, altering, or repairing a public building or carrying out or completing any public work exceeds $150,000, the department, the executive director, or the executive director's designee shall require the contractor to execute a performance bond and a payment bond to the department before beginning 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11.0171(a-1), Parks and Wildlife Code, as added by this Act, applies only to a contract for which the Parks and Wildlife Department first advertises or otherwise requests bids, proposals, offers, or qualifications, or makes a similar solicitation, on or after the effective date of this Act.  A contract for which the department first advertises or otherwise requests bids, proposals, offers, or qualifications, or makes a similar solicitation, before the effective date of this Act is governed by the law as it existed immediately before that date,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3887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