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89R25617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Hickland, Zwiener, Alders, Simmons,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Dyson,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wireless communication device at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61.014, Election Code, is amended by amending Subsection (a)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permitted by Sections 61.012 and 61.013, a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person may not use a wireless communication device </w:t>
      </w:r>
      <w:r>
        <w:rPr>
          <w:u w:val="single"/>
        </w:rPr>
        <w:t xml:space="preserve">within a room in which voting is taking place</w:t>
      </w:r>
      <w:r>
        <w:t xml:space="preserve"> [</w:t>
      </w:r>
      <w:r>
        <w:rPr>
          <w:strike/>
        </w:rPr>
        <w:t xml:space="preserve">within 100 feet of a voting station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require a presiding judge to post a notice that states the prohibition on the use of a wireless communication device in a prominent and reasonably visible location outside of a room in which voting is taking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