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2025S0153-1  02/28/25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Gates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3919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size and density requirements for residential lots in certain municipalities; authorizing a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211, Local Government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 RESIDENTIAL ZONING LIMITATIONS IN CERTAIN MUNICIPALITIES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"Housing organization" means a: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trade or industry group organized under the laws of this state consisting of local members primarily engaged in the construction or management of housing units;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organized under the laws of this state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or advocates for increased access or reduced barriers to housing;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filed written or oral comments with the legislature;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organized under the laws of this state that is engaged in public policy research, education, and outreach that includes housing policy-related issues and advocacy.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"Small lot"</w:t>
      </w:r>
      <w:r>
        <w:rPr>
          <w:u w:val="single"/>
        </w:rPr>
        <w:t xml:space="preserve"> </w:t>
      </w:r>
      <w:r>
        <w:rPr>
          <w:u w:val="single"/>
        </w:rPr>
        <w:t xml:space="preserve">means a residential lot that is 4,000 square feet or less.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applies only to a municipality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more than 90,000;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wholly or partly located in a county with a population of more than 300,000.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does not apply to a one-mile radius from the perimeter of a campus that includes a law enforcement training center in a county that has a population of 2,600,000 or more but less than 2,700,000.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CONSTRUCTION OF SUBCHAPTER.  This subchapter may not be construed to affect requirements directly related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use and occupancy of residential units leased for a term of less than 30 days;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flooding, sewer facilities, or well water located on an individual residential lot and serving only that lot.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DWELLING UNIT LOT SIZE REQUIREMENTS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tract of land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will be platted and located in an area zoned for single-family homes;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five acres or more;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no recorded map or plat.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not adopt or enforce an ordinance, rule, or other measure that requires: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residential lot to be: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larger than 1,400 square feet;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wider than 20 feet;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deeper than 60 feet;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regulating the density of dwelling units on a residential lot, a ratio of dwelling units per acre that results in fewer than 31.1 units per acre.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SMALL LOTS.  (a)  A municipality may not adopt or enforce an ordinance, rule, or other measure that requires a small lot to have: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building, waterway, plane, or other setback greater than: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five feet from the front or back of the property;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five feet from the side of the property;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covered parking;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more than one parking space per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off-site parking;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more than 30 percent open space or permeable surface;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fewer than three full stories not exceeding 10 feet in height measured from the interior floor to ceiling;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maximum building bulk;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wall articulation requirement;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zoning restriction that imposes restrictions inconsistent with this subsection, including restrictions through contiguous zoning districts or uses or from the creation of an overlapping zoning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require with respect to a small lot: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sharing of a driveway with another lot;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permitting fees equivalent to the permitting fees charged for the development of a lot the use of which is restricted to a single-family residence.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OTHER ZONING AUTHORITY.  This subchapter does not prohibit a municipality from imposing restrictions that are applicable to all similarly situated lots or subdivisions, including requiring all subdivisions or all small lots to fully mitigate stormwater runoff.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HOMEOWNERS'</w:t>
      </w:r>
      <w:r>
        <w:rPr>
          <w:u w:val="single"/>
        </w:rPr>
        <w:t xml:space="preserve"> </w:t>
      </w:r>
      <w:r>
        <w:rPr>
          <w:u w:val="single"/>
        </w:rPr>
        <w:t xml:space="preserve">ASSOCIATIONS AND OTHER PRIVATE AGREEMENTS.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prohibit property owners from enforcing rules or deed restrictions imposed by a homeowners'</w:t>
      </w:r>
      <w:r>
        <w:rPr>
          <w:u w:val="single"/>
        </w:rPr>
        <w:t xml:space="preserve"> </w:t>
      </w:r>
      <w:r>
        <w:rPr>
          <w:u w:val="single"/>
        </w:rPr>
        <w:t xml:space="preserve">association or by other private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ACTION.  (a) </w:t>
      </w:r>
      <w:r>
        <w:rPr>
          <w:u w:val="single"/>
        </w:rPr>
        <w:t xml:space="preserve"> </w:t>
      </w:r>
      <w:r>
        <w:rPr>
          <w:u w:val="single"/>
        </w:rPr>
        <w:t xml:space="preserve">A person adversely affected or aggrieved by a municipality's violation of this subchapter or a housing organization may bring an action against the municipality or an officer or employee of the municipality in the officer's or employee's official capacity for relief described by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claimant must bring an action under this section in a county in which the real property that is the subject of the action is wholly or partly located.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action brought under this section, a court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 a declaratory judgment under Chapter 37, Civil Practice and Remedies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issue a writ of mandamus compelling a defendant officer or employee to comply with this subchapter;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issue an injunction preventing the defendant from violating this subchapter;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award damages to the claimant for economic losses caused by the defendant's violation of this subchapter if the claimant is a person affected or aggrieved by the violation that is the basis for the 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shall award reasonable attorney's fees and court costs incurred in bringing an action under this section to a prevailing claimant.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Governmental immunity of a municipality to suit and from liability is waived to the extent of liability created by this section. Official immunity of a municipal officer or employee is waived to the extent of liability created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Fifteenth Court of Appeals has exclusive intermediate appellate jurisdiction over an appeal or original proceeding arising from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