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Thompson</w:t>
      </w:r>
      <w:r>
        <w:t xml:space="preserve"> 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Nichols)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3928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May</w:t>
      </w:r>
      <w:r xml:space="preserve">
        <w:t> </w:t>
      </w:r>
      <w:r>
        <w:t xml:space="preserve">5,</w:t>
      </w:r>
      <w:r xml:space="preserve">
        <w:t> </w:t>
      </w:r>
      <w:r>
        <w:t xml:space="preserve">2025; May</w:t>
      </w:r>
      <w:r xml:space="preserve">
        <w:t> </w:t>
      </w:r>
      <w:r>
        <w:t xml:space="preserve">19,</w:t>
      </w:r>
      <w:r xml:space="preserve">
        <w:t> </w:t>
      </w:r>
      <w:r>
        <w:t xml:space="preserve">2025, read first time and referred to Committee on Transportation; May</w:t>
      </w:r>
      <w:r xml:space="preserve">
        <w:t> </w:t>
      </w:r>
      <w:r>
        <w:t xml:space="preserve">23,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5, Nays 0; May</w:t>
      </w:r>
      <w:r xml:space="preserve">
        <w:t> </w:t>
      </w:r>
      <w:r>
        <w:t xml:space="preserve">23,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Nichols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West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Bettencourt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Hagenbuch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Hidalgo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Miles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Perry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providing notice of a vehicle towed to a vehicle storage facility by publication on a third-party Internet website.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2303.152, Occupations Code, is amended by amending Subsections (a) and (e) and adding Subsection (f)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Notice to the registered owner and the primary lienholder of a vehicle towed to a vehicle storage facility may be provided by publication in a newspaper of general circulation in the county in which the vehicle is stored </w:t>
      </w:r>
      <w:r>
        <w:rPr>
          <w:u w:val="single"/>
        </w:rPr>
        <w:t xml:space="preserve">or on a publicly available Internet website maintained by a department-approved third party</w:t>
      </w:r>
      <w:r>
        <w:t xml:space="preserve"> if: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vehicle is registered in another state;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the operator of the storage facility submits to the governmental entity responsible for maintaining the motor vehicle title and registration database for the state in which the vehicle is registered a request for information relating to the identity of the registered owner and any lienholder of record that is either: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written;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electronic, through the governmental entity's secure access portal;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the identity of the registered owner cannot be determined;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the registration does not contain an address for the registered owner; or</w:t>
      </w:r>
    </w:p>
    <w:p w:rsidR="003F3435" w:rsidRDefault="0032493E">
      <w:pPr>
        <w:spacing w:line="480" w:lineRule="auto"/>
        <w:ind w:firstLine="1440"/>
        <w:jc w:val="both"/>
      </w:pPr>
      <w:r>
        <w:t xml:space="preserve">(5)</w:t>
      </w:r>
      <w:r xml:space="preserve">
        <w:t> </w:t>
      </w:r>
      <w:r xml:space="preserve">
        <w:t> </w:t>
      </w:r>
      <w:r>
        <w:t xml:space="preserve">the operator of the storage facility cannot reasonably determine the identity and address of each lienholder.</w:t>
      </w:r>
    </w:p>
    <w:p w:rsidR="003F3435" w:rsidRDefault="0032493E">
      <w:pPr>
        <w:spacing w:line="480" w:lineRule="auto"/>
        <w:ind w:firstLine="720"/>
        <w:jc w:val="both"/>
      </w:pPr>
      <w:r>
        <w:t xml:space="preserve">(e)</w:t>
      </w:r>
      <w:r xml:space="preserve">
        <w:t> </w:t>
      </w:r>
      <w:r xml:space="preserve">
        <w:t> </w:t>
      </w:r>
      <w:r>
        <w:t xml:space="preserve">Notice to the registered owner and the primary lienholder of a vehicle towed to a vehicle storage facility may be provided by publication in a newspaper of general circulation in the county in which the vehicle is stored </w:t>
      </w:r>
      <w:r>
        <w:rPr>
          <w:u w:val="single"/>
        </w:rPr>
        <w:t xml:space="preserve">or on a publicly available Internet website maintained by a department-approved third party</w:t>
      </w:r>
      <w:r>
        <w:t xml:space="preserve"> if: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vehicle does not display a license plate or a vehicle inspection certificate indicating the state of registration;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the identity of the registered owner cannot reasonably be determined by the operator of the storage facility; or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the operator of the storage facility cannot reasonably determine the identity and address of each lienholder.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(f)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department shall include on the department's Internet website a link to any Internet website maintained by a department-approved third party where notice may be provided under Subsection (a) or (e).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3928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