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89R9915 AJA-F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Lambert</w:t>
      </w:r>
      <w:r xml:space="preserve">
        <w:tab wTab="150" tlc="none" cTlc="0"/>
      </w:r>
      <w:r>
        <w:t xml:space="preserve">H.B.</w:t>
      </w:r>
      <w:r xml:space="preserve">
        <w:t> </w:t>
      </w:r>
      <w:r>
        <w:t xml:space="preserve">No.</w:t>
      </w:r>
      <w:r xml:space="preserve">
        <w:t> </w:t>
      </w:r>
      <w:r>
        <w:t xml:space="preserve">3929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choice of law and assignment or acquisition of claims and demands in connection with certificated and uncertificated securities.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8.110, Business &amp; Commerce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8.302, Business &amp; Commerce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rights acquired by a purchaser of a certificated or uncertificated security, unless otherwise agreed in writing, include, without limitation, all of the following claims and demands of the transferor, regardless of whether the claims and demands are known to exist: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claim or demand for damages or rescission against the issuer or other party to the security;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claim or demand for damages against the trustee, depositary, or other party under any indenture under which the security was issued or is outstanding;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claim or demand for damages against any issuer, underwriter, trustee, depositary, guarantor, or other party to the obligations of the issuer;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claim or demand to enforce any rights of a securityholder under the terms of the security, including rights arising prior to the date of the transfer.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specifically provided by statute with respect to assignments of the claims and demands of a transferor to the purchaser of a certificated or uncertificated security, no issuer or other party subject to any obligation, or to any claim or demand for damages, with respect to any such security may assert a defense to such an obligation, claim, or demand, or assert a claim against the purchaser, based on the intent of the purchaser, or an assignor or assignee of the purchaser, to assert or pursue through litigation or other lawful means the enforcement of the purchaser's rights thereto.</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271.005, Business &amp; Commerce Code, is amended by adding Subsections (a-1) and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Unless otherwise agreed in writing, the choice of governing law specified in the terms applicable to a certificated or uncertificated security issued in a qualified transaction, including any change in that governing law, applies retroactively to all issues relating to the security.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security issued in a qualified transaction may be modified or amended, in accordance with the security's terms, to permit amendment of the terms of the security by less than unanimous consent, and to choose the law of a different jurisdiction to govern the security. </w:t>
      </w:r>
      <w:r>
        <w:rPr>
          <w:u w:val="single"/>
        </w:rPr>
        <w:t xml:space="preserve"> </w:t>
      </w:r>
      <w:r>
        <w:rPr>
          <w:u w:val="single"/>
        </w:rPr>
        <w:t xml:space="preserve">An amendment described by this subsection applies retroactively unless otherwise agreed by the parties in writing.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