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89R13406 KJE-D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Schatzline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4040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diversity, equity, and inclusion practices at school districts; authorizing an administrative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11, Education Code, is amended by adding Section 11.005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11.005.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DIVERSITY, EQUITY, AND INCLUSION PRACTICES.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"diversity, equity, and inclusion practices"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influencing hiring or employment practices with respect to race, sex, color, or ethnicity except as necessary to comply with state or federal antidiscrimination laws;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promoting differential treatment of or providing special benefits to individuals on the basis of race, color, or ethnicity;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developing or implementing policies, procedures, or training programs that reference race, color, ethnicity, gender identity, or sexual orientation except as necessary to comply with state or federal law;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compelling, requiring, inducing, or soliciting any person to provide a diversity, equity, and inclusion statement or giving preferential consideration to any person based on the provision of a diversity, equity, and inclusion statement.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promote a colorblind meritocracy to ensure equal service and support for all students, regardless of race, ethnicity, religion, or nationality.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state or local money to pay for, or contract with a third party for, a department or program that uses diversity, equity, and inclusion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 with a vendor to provide training in or services or programs for diversity, equity, and inclusion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promote an event, meeting, or club that favors persons of one race over persons of another race;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professional development training for teachers, parents, students, or public stakeholders on diversity, equity, and inclusion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host a field trip to an event or meeting that promotes racially exclusive rhetoric;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financial support to a student-led organization, club, or association that excludes participants based on race or ethnicity;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give preferential treatment in disciplinary practices or procedures to a student based on the student's race or ethnicity;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 or use a curriculum based on diversity, equity, and inclusion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discriminate against a person of a certain race for actions committed by the person's ancestor;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create or promote a scholarship that favors students of one race over students of another race;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restorative justice practices.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board of trustees of a school district may not adopt a policy or resolution that supports diversity, equity, and inclusion practices.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board of trustees of a school district or an employee of the district may not attend, in the person's capacity as a member or employee, a conference that promotes or teaches diversity, equity, and inclusion practices.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commissioner determines that a school district violated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district may not receive state money for the state fiscal year following the state fiscal year in which the district violated this 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agency shall assess an administrative penalty against the district in an amount not to exceed $1,000,000.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bring an action for injunctive relief against a school district or a member of the board of trustees or employee of the district to compel the district, member, or employee to comply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commissioner may adopt rules as necessary to enforce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37.0013(a),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Each school district and open-enrollment charter school may develop and implement a program, in consultation with campus behavior coordinators employed by the district or school and representatives of a regional education service center, that provides a disciplinary alternative for a student enrolled in a grade level below grade three who engages in conduct described by Section 37.005(a) and is not subject to Section 37.005(c). </w:t>
      </w:r>
      <w:r>
        <w:t xml:space="preserve"> </w:t>
      </w:r>
      <w:r>
        <w:t xml:space="preserve">The program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age-appropriate and research-based;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provide models for positive behavior;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promote a positive school environment;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alternative disciplinary courses of action that do not rely on the use of in-school suspension, out-of-school suspension, or placement in a disciplinary alternative education program to manage student behavior;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provide behavior management strategies,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positive behavioral intervention and support;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trauma-informed practices;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social and emotional learning;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referral for services, as necessary[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(E)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restorative practices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48.115(b),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Funds allocated under this section must be used to improve school safety and security, including costs associated with: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securing school facilities in accordance with the requirements of Section 37.351,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improvements to school infrastructure;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use or installation of perimeter security fencing conducive to a public school learning environment or physical barriers, which may not include razor wire;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exterior door and window safety and security upgrades, including exterior door numbering and locking systems and security film that provides resistance to a forced entry;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purchase and maintenance of: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security cameras and, if the district has already installed security cameras, other security equipment, including video surveillance as provided by Section 29.022;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technology, including communications systems or devices, such as silent panic alert devices, two-way radios, or wireless Internet booster equipment, that facilitates communication and information sharing between students, school personnel, and first responders in an emergency;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providing security for the district,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employing school district peace officers, private security officers, and school marshals;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collaborating with local law enforcement agencies, such as entering into a memorandum of understanding for the assignment of school resource officers to schools in the district;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school safety and security measures,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active shooter and emergency response training;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prevention and treatment programs relating to addressing adverse childhood experiences;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prevention, identification, and management of emergencies and threats, using evidence-based, effective prevention practices and including: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providing licensed counselors, social workers, </w:t>
      </w:r>
      <w:r>
        <w:rPr>
          <w:u w:val="single"/>
        </w:rPr>
        <w:t xml:space="preserve">and</w:t>
      </w:r>
      <w:r>
        <w:t xml:space="preserve"> chaplains[</w:t>
      </w:r>
      <w:r>
        <w:rPr>
          <w:strike/>
        </w:rPr>
        <w:t xml:space="preserve">, and individuals trained in restorative discipline and restorative justice practices</w:t>
      </w:r>
      <w:r>
        <w:t xml:space="preserve">];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providing mental health personnel and support, including chaplains;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(iii)</w:t>
      </w:r>
      <w:r xml:space="preserve">
        <w:t> </w:t>
      </w:r>
      <w:r xml:space="preserve">
        <w:t> </w:t>
      </w:r>
      <w:r>
        <w:t xml:space="preserve">providing behavioral health services, including services provided by chaplains;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(iv)</w:t>
      </w:r>
      <w:r xml:space="preserve">
        <w:t> </w:t>
      </w:r>
      <w:r xml:space="preserve">
        <w:t> </w:t>
      </w:r>
      <w:r>
        <w:t xml:space="preserve">establishing threat reporting systems; and</w:t>
      </w:r>
    </w:p>
    <w:p w:rsidR="003F3435" w:rsidRDefault="0032493E">
      <w:pPr>
        <w:spacing w:line="480" w:lineRule="auto"/>
        <w:ind w:firstLine="2880"/>
        <w:jc w:val="both"/>
      </w:pPr>
      <w:r>
        <w:t xml:space="preserve">(v)</w:t>
      </w:r>
      <w:r xml:space="preserve">
        <w:t> </w:t>
      </w:r>
      <w:r xml:space="preserve">
        <w:t> </w:t>
      </w:r>
      <w:r>
        <w:t xml:space="preserve">developing and implementing programs focused on [</w:t>
      </w:r>
      <w:r>
        <w:rPr>
          <w:strike/>
        </w:rPr>
        <w:t xml:space="preserve">restorative justice practices,</w:t>
      </w:r>
      <w:r>
        <w:t xml:space="preserve">] culturally relevant instruction[</w:t>
      </w:r>
      <w:r>
        <w:rPr>
          <w:strike/>
        </w:rPr>
        <w:t xml:space="preserve">,</w:t>
      </w:r>
      <w:r>
        <w:t xml:space="preserve">] and providing mental health support, including support provided by chaplains;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providing programs related to suicide prevention, intervention, and postvention, including programs provided by chaplains;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employing a school safety director and other personnel to manage and monitor school safety initiatives and the implementation of school safety requirements for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1701.262(c),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curriculum developed under this section must incorporate learning objectives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child and adolescent development and psychology;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positive behavioral interventions and supports </w:t>
      </w:r>
      <w:r>
        <w:rPr>
          <w:u w:val="single"/>
        </w:rPr>
        <w:t xml:space="preserve">and</w:t>
      </w:r>
      <w:r>
        <w:t xml:space="preserve">[</w:t>
      </w:r>
      <w:r>
        <w:rPr>
          <w:strike/>
        </w:rPr>
        <w:t xml:space="preserve">,</w:t>
      </w:r>
      <w:r>
        <w:t xml:space="preserve">] conflict resolution techniques[</w:t>
      </w:r>
      <w:r>
        <w:rPr>
          <w:strike/>
        </w:rPr>
        <w:t xml:space="preserve">, and restorative justice techniques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de-escalation techniques and techniques for limiting the use of force, including the use of physical, mechanical, and chemical restraints;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mental and behavioral health needs of children with disabilities or special needs;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mental health crisis intervention.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4040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