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89R13932 BEF-F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w:t>
      </w:r>
      <w:r xml:space="preserve">
        <w:tab wTab="150" tlc="none" cTlc="0"/>
      </w:r>
      <w:r>
        <w:t xml:space="preserve">H.B.</w:t>
      </w:r>
      <w:r xml:space="preserve">
        <w:t> </w:t>
      </w:r>
      <w:r>
        <w:t xml:space="preserve">No.</w:t>
      </w:r>
      <w:r xml:space="preserve">
        <w:t> </w:t>
      </w:r>
      <w:r>
        <w:t xml:space="preserve">4044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expenditures by public institutions of higher education and university systems that are eligible for certain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w:t>
      </w:r>
      <w:r xml:space="preserve">
        <w:t> </w:t>
      </w:r>
      <w:r xml:space="preserve">
        <w:t> </w:t>
      </w:r>
      <w:r>
        <w:t xml:space="preserve">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w:t>
      </w:r>
      <w:r>
        <w:rPr>
          <w:u w:val="single"/>
        </w:rPr>
        <w:t xml:space="preserve">or by an institution of higher education or university system as defined by Section 61.003, Education Code,</w:t>
      </w:r>
      <w:r>
        <w:t xml:space="preserv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(b)</w:t>
      </w:r>
      <w:r xml:space="preserve">
        <w:t> </w:t>
      </w:r>
      <w:r xml:space="preserve">
        <w:t> </w:t>
      </w:r>
      <w:r>
        <w:t xml:space="preserve">Effective January 1, 2035, 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w:t>
      </w:r>
      <w:r xml:space="preserve">
        <w:t> </w:t>
      </w:r>
      <w:r xml:space="preserve">
        <w:t> </w:t>
      </w:r>
      <w:r>
        <w:t xml:space="preserve">Section 172.102(b), Tax Code, as amended by Section 1(a) of this Act, applies only to costs and expenses incurred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172.102(b), Tax Code, as amended by Section 1(b) of this Act, applies only to costs and expenses incurred on or after January 1, 2035.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