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 et al.</w:t>
      </w:r>
      <w:r>
        <w:t xml:space="preserve"> (Senate Sponsor</w:t>
      </w:r>
      <w:r xml:space="preserve">
        <w:t> </w:t>
      </w:r>
      <w:r>
        <w:t xml:space="preserve">-</w:t>
      </w:r>
      <w:r xml:space="preserve">
        <w:t> </w:t>
      </w:r>
      <w:r>
        <w:t xml:space="preserve">Creighton)</w:t>
      </w:r>
      <w:r xml:space="preserve">
        <w:tab wTab="150" tlc="none" cTlc="0"/>
      </w:r>
      <w:r>
        <w:t xml:space="preserve">H.B.</w:t>
      </w:r>
      <w:r xml:space="preserve">
        <w:t> </w:t>
      </w:r>
      <w:r>
        <w:t xml:space="preserve">No.</w:t>
      </w:r>
      <w:r xml:space="preserve">
        <w:t> </w:t>
      </w:r>
      <w:r>
        <w:t xml:space="preserve">4044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6,</w:t>
      </w:r>
      <w:r xml:space="preserve">
        <w:t> </w:t>
      </w:r>
      <w:r>
        <w:t xml:space="preserve">2025, read first time and referred to Committee on Finance; May</w:t>
      </w:r>
      <w:r xml:space="preserve">
        <w:t> </w:t>
      </w:r>
      <w:r>
        <w:t xml:space="preserve">21,</w:t>
      </w:r>
      <w:r xml:space="preserve">
        <w:t> </w:t>
      </w:r>
      <w:r>
        <w:t xml:space="preserve">2025, reported favorably by the following vote:</w:t>
      </w:r>
      <w:r>
        <w:t xml:space="preserve"> </w:t>
      </w:r>
      <w:r>
        <w:t xml:space="preserve"> </w:t>
      </w:r>
      <w:r>
        <w:t xml:space="preserve">Yeas 13, Nays 0; May</w:t>
      </w:r>
      <w:r xml:space="preserve">
        <w:t> </w:t>
      </w:r>
      <w:r>
        <w:t xml:space="preserve">21,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certain expenditures by public institutions of higher education and university systems that are eligible for certain tax credits.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w:t>
      </w:r>
      <w:r xml:space="preserve">
        <w:t> </w:t>
      </w:r>
      <w:r xml:space="preserve">
        <w:t> </w:t>
      </w:r>
      <w:r>
        <w:t xml:space="preserve">Section 172.102(b), Tax Code, is amended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 (c), the depreciation and tax-exempt use provisions of Section 47(c)(2), Internal Revenue Code, do not apply to costs and expenses incurred by an entity exempted from the federal income tax under Section 501(a), Internal Revenue Code, </w:t>
      </w:r>
      <w:r>
        <w:rPr>
          <w:u w:val="single"/>
        </w:rPr>
        <w:t xml:space="preserve">or by an institution of higher education or university system as defined by Section 61.003, Education Code,</w:t>
      </w:r>
      <w:r>
        <w:t xml:space="preserve"> and those costs and expenses are eligible costs and expenses if the other provisions of Section 47(c)(2), Internal Revenue Code, are satisfied.</w:t>
      </w:r>
    </w:p>
    <w:p w:rsidR="003F3435" w:rsidRDefault="0032493E">
      <w:pPr>
        <w:spacing w:line="480" w:lineRule="auto"/>
        <w:ind w:firstLine="720"/>
        <w:jc w:val="both"/>
      </w:pPr>
      <w:r>
        <w:t xml:space="preserve">(b)</w:t>
      </w:r>
      <w:r xml:space="preserve">
        <w:t> </w:t>
      </w:r>
      <w:r xml:space="preserve">
        <w:t> </w:t>
      </w:r>
      <w:r>
        <w:t xml:space="preserve">Effective January 1, 2035, Section 172.102(b), Tax Code, is amended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 (c), the depreciation and tax-exempt use provisions of Section 47(c)(2), Internal Revenue Code, do not apply to costs and expenses incurred by an entity exempted from the federal income tax under Section 501(a), Internal Revenue Code, and those costs and expenses are eligible costs and expenses if the other provisions of Section 47(c)(2), Internal Revenue Code, are satisfied.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w:t>
      </w:r>
      <w:r xml:space="preserve">
        <w:t> </w:t>
      </w:r>
      <w:r xml:space="preserve">
        <w:t> </w:t>
      </w:r>
      <w:r>
        <w:t xml:space="preserve">Section 172.102(b), Tax Code, as amended by Section 1(a) of this Act, applies only to costs and expenses incurred on or after the effective date of this Act.</w:t>
      </w:r>
    </w:p>
    <w:p w:rsidR="003F3435" w:rsidRDefault="0032493E">
      <w:pPr>
        <w:spacing w:line="480" w:lineRule="auto"/>
        <w:ind w:firstLine="720"/>
        <w:jc w:val="both"/>
      </w:pPr>
      <w:r>
        <w:t xml:space="preserve">(b)</w:t>
      </w:r>
      <w:r xml:space="preserve">
        <w:t> </w:t>
      </w:r>
      <w:r xml:space="preserve">
        <w:t> </w:t>
      </w:r>
      <w:r>
        <w:t xml:space="preserve">Section 172.102(b), Tax Code, as amended by Section 1(b) of this Act, applies only to costs and expenses incurred on or after January 1, 2035.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