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89R15206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Cook, Hull, et al.</w:t>
      </w:r>
      <w:r xml:space="preserve">
        <w:tab wTab="150" tlc="none" cTlc="0"/>
      </w:r>
      <w:r>
        <w:t xml:space="preserve">H.B.</w:t>
      </w:r>
      <w:r xml:space="preserve">
        <w:t> </w:t>
      </w:r>
      <w:r>
        <w:t xml:space="preserve">No.</w:t>
      </w:r>
      <w:r xml:space="preserve">
        <w:t> </w:t>
      </w:r>
      <w:r>
        <w:t xml:space="preserve">4076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organ transplant recipient discrimination on the basis of vaccination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S, Chapter 161, Health and Safety Code, is amended by adding Section 161.474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161.474.</w:t>
      </w:r>
      <w:r>
        <w:rPr>
          <w:u w:val="single"/>
        </w:rPr>
        <w:t xml:space="preserve"> </w:t>
      </w:r>
      <w:r>
        <w:rPr>
          <w:u w:val="single"/>
        </w:rPr>
        <w:t xml:space="preserve"> </w:t>
      </w:r>
      <w:r>
        <w:rPr>
          <w:u w:val="single"/>
        </w:rPr>
        <w:t xml:space="preserve">DISCRIMINATION ON BASIS OF VACCINATION STATUS PROHIBITED.  (a)  A health care provider may not, solely on the basis of an individual's vaccination status: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an individual is ineligible to receive an organ transplant;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medical or other services related to an organ transplant, including evaluation, surgery, counseling, and postoperative treatment;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refuse to refer the individual to a transplant center or other related specialist for evaluation or receipt of an organ transplant;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refuse to place the individual on an organ transplant waiting list or place the individual at a position lower in priority on the list than the position the individual would have been placed if not for the individual's vaccination status.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health care provider may consider an individual's vaccination status when making a treatment recommendation or decision solely to the extent that a physician, following an individualized evaluation of the potential transplant recipient, determines the vaccination status is medically significant to the organ transplant. </w:t>
      </w:r>
      <w:r>
        <w:rPr>
          <w:u w:val="single"/>
        </w:rPr>
        <w:t xml:space="preserve"> </w:t>
      </w:r>
      <w:r>
        <w:rPr>
          <w:u w:val="single"/>
        </w:rPr>
        <w:t xml:space="preserve">This section does not require a referral or recommendation for, or the performance of, a medically inappropriate organ transplant.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each stage of the organ transplant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take an adverse action or impose a penalty of any kind against a health care provider based solely on the fact that the health care provider complied with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in good faith makes a determination that an individual's vaccination status is medically significant to the organ transplant, as described by Subsection (b), does not violate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provider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alternative risk mitigation strategies, including antibody testing, prophylactic treatments, and antiviral therapy, in lieu of requiring a vaccination;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patients of the risks and benefits of receiving a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executive commissioner of the Health and Human Services Commission shall adopt any rules necessary to implement Section 161.474,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