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Dyson</w:t>
      </w:r>
      <w:r>
        <w:t xml:space="preserve"> (Senate Sponsor</w:t>
      </w:r>
      <w:r xml:space="preserve">
        <w:t> </w:t>
      </w:r>
      <w:r>
        <w:t xml:space="preserve">-</w:t>
      </w:r>
      <w:r xml:space="preserve">
        <w:t> </w:t>
      </w:r>
      <w:r>
        <w:t xml:space="preserve">Hughes)</w:t>
      </w:r>
      <w:r xml:space="preserve">
        <w:tab wTab="150" tlc="none" cTlc="0"/>
      </w:r>
      <w:r>
        <w:t xml:space="preserve">H.B.</w:t>
      </w:r>
      <w:r xml:space="preserve">
        <w:t> </w:t>
      </w:r>
      <w:r>
        <w:t xml:space="preserve">No.</w:t>
      </w:r>
      <w:r xml:space="preserve">
        <w:t> </w:t>
      </w:r>
      <w:r>
        <w:t xml:space="preserve">4145</w:t>
      </w:r>
    </w:p>
    <w:p w:rsidR="003F3435" w:rsidRDefault="0032493E">
      <w:pPr>
        <w:spacing w:line="480" w:lineRule="auto"/>
        <w:ind w:firstLine="720"/>
        <w:jc w:val="both"/>
      </w:pPr>
      <w:r>
        <w:t xml:space="preserve">(In the Senate</w:t>
      </w:r>
      <w:r xml:space="preserve">
        <w:t> </w:t>
      </w:r>
      <w:r>
        <w:t xml:space="preserve">-</w:t>
      </w:r>
      <w:r xml:space="preserve">
        <w:t> </w:t>
      </w:r>
      <w:r>
        <w:t xml:space="preserve">Received from the House April</w:t>
      </w:r>
      <w:r xml:space="preserve">
        <w:t> </w:t>
      </w:r>
      <w:r>
        <w:t xml:space="preserve">29,</w:t>
      </w:r>
      <w:r xml:space="preserve">
        <w:t> </w:t>
      </w:r>
      <w:r>
        <w:t xml:space="preserve">2025; May</w:t>
      </w:r>
      <w:r xml:space="preserve">
        <w:t> </w:t>
      </w:r>
      <w:r>
        <w:t xml:space="preserve">5,</w:t>
      </w:r>
      <w:r xml:space="preserve">
        <w:t> </w:t>
      </w:r>
      <w:r>
        <w:t xml:space="preserve">2025, read first time and referred to Committee on State Affairs; May</w:t>
      </w:r>
      <w:r xml:space="preserve">
        <w:t> </w:t>
      </w:r>
      <w:r>
        <w:t xml:space="preserve">25,</w:t>
      </w:r>
      <w:r xml:space="preserve">
        <w:t> </w:t>
      </w:r>
      <w:r>
        <w:t xml:space="preserve">2025, reported favorably by the following vote:</w:t>
      </w:r>
      <w:r>
        <w:t xml:space="preserve"> </w:t>
      </w:r>
      <w:r>
        <w:t xml:space="preserve"> </w:t>
      </w:r>
      <w:r>
        <w:t xml:space="preserve">Yeas 9, Nays 0; May</w:t>
      </w:r>
      <w:r xml:space="preserve">
        <w:t> </w:t>
      </w:r>
      <w:r>
        <w:t xml:space="preserve">25,</w:t>
      </w:r>
      <w:r xml:space="preserve">
        <w:t> </w:t>
      </w:r>
      <w:r>
        <w:t xml:space="preserve">2025, sent to printer.)</w:t>
      </w:r>
    </w:p>
    <w:p w:rsidR="003F3435" w:rsidRDefault="003F3435"/>
    <w:p w:rsidR="003F3435" w:rsidRDefault="0032493E">
      <w:pPr>
        <w:spacing w:line="480" w:lineRule="auto"/>
        <w:jc w:val="center"/>
      </w:pPr>
      <w:r>
        <w:t xml:space="preserve">COMMITTEE VOTE</w:t>
      </w:r>
    </w:p>
    <w:p w:rsidR="003F3435" w:rsidRDefault="003F3435"/>
    <w:p w:rsidR="003F3435" w:rsidRDefault="0032493E">
      <w:pPr>
        <w:spacing w:line="480" w:lineRule="auto"/>
        <w:ind w:firstLine="720"/>
        <w:ind w:end="1440"/>
        <w:jc w:val="both"/>
      </w:pP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w:rPr>
          <w:u w:val="single"/>
        </w:rPr>
        <w:t xml:space="preserve">Yea</w:t>
      </w:r>
      <w:r xml:space="preserve">
        <w:tab wTab="150" tlc="none" cTlc="0"/>
      </w:r>
      <w:r>
        <w:rPr>
          <w:u w:val="single"/>
        </w:rPr>
        <w:t xml:space="preserve">Nay</w:t>
      </w:r>
      <w:r xml:space="preserve">
        <w:tab wTab="150" tlc="none" cTlc="0"/>
      </w:r>
      <w:r>
        <w:rPr>
          <w:u w:val="single"/>
        </w:rPr>
        <w:t xml:space="preserve">Absent</w:t>
      </w:r>
      <w:r xml:space="preserve">
        <w:rPr>
          <w:u w:val="single"/>
        </w:rPr>
        <w:t> </w:t>
      </w:r>
      <w:r xml:space="preserve">
        <w:tab wTab="150" tlc="none" cTlc="0"/>
      </w:r>
      <w:r>
        <w:rPr>
          <w:u w:val="single"/>
        </w:rPr>
        <w:t xml:space="preserve">PNV</w:t>
      </w:r>
    </w:p>
    <w:p w:rsidR="003F3435" w:rsidRDefault="0032493E">
      <w:pPr>
        <w:spacing w:line="480" w:lineRule="auto"/>
        <w:ind w:firstLine="720"/>
        <w:ind w:end="1440"/>
        <w:jc w:val="both"/>
      </w:pPr>
      <w:r>
        <w:rPr>
          <w:u w:val="single"/>
        </w:rPr>
        <w:t xml:space="preserve">Hughes</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Paxton</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Bettencourt</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Birdwell</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Hall</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Hinojosa of Nueces</w:t>
      </w:r>
      <w:r xml:space="preserve">
        <w:rPr>
          <w:u w:val="single"/>
        </w:rPr>
        <w:t> </w:t>
      </w:r>
      <w:r>
        <w:rPr>
          <w:u w:val="single"/>
        </w:rPr>
        <w:t xml:space="preserve">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Middleton</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Parker</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Perry</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w:rPr>
          <w:u w:val="single"/>
        </w:rPr>
        <w:t xml:space="preserve">X</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Schwertner</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w:rPr>
          <w:u w:val="single"/>
        </w:rPr>
        <w:t xml:space="preserve">X</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Zaffirini</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F3435"/>
    <w:p w:rsidR="003F3435" w:rsidRDefault="0032493E">
      <w:pPr>
        <w:spacing w:line="480" w:lineRule="auto"/>
        <w:jc w:val="both"/>
      </w:pPr>
      <w:r>
        <w:t xml:space="preserve">relating to the timely billing of health care services related to a personal injury claim.</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146.002, Civil Practice and Remedies Code, is amended by amending Subsections (a) and (d) and adding Subsection (c-1) to read as follows:</w:t>
      </w:r>
    </w:p>
    <w:p w:rsidR="003F3435" w:rsidRDefault="0032493E">
      <w:pPr>
        <w:spacing w:line="480" w:lineRule="auto"/>
        <w:ind w:firstLine="720"/>
        <w:jc w:val="both"/>
      </w:pPr>
      <w:r>
        <w:t xml:space="preserve">(a)</w:t>
      </w:r>
      <w:r xml:space="preserve">
        <w:t> </w:t>
      </w:r>
      <w:r xml:space="preserve">
        <w:t> </w:t>
      </w:r>
      <w:r>
        <w:t xml:space="preserve">Except as provided by Subsection (b) or (c) </w:t>
      </w:r>
      <w:r>
        <w:rPr>
          <w:u w:val="single"/>
        </w:rPr>
        <w:t xml:space="preserve">and subject to Subsection (c-1)</w:t>
      </w:r>
      <w:r>
        <w:t xml:space="preserve">, a health care service provider shall bill a patient or other responsible person for services provided to the patient not later than the first day of the 11th month after the date the services are provided.</w:t>
      </w:r>
    </w:p>
    <w:p w:rsidR="003F3435" w:rsidRDefault="0032493E">
      <w:pPr>
        <w:spacing w:line="480" w:lineRule="auto"/>
        <w:ind w:firstLine="720"/>
        <w:jc w:val="both"/>
      </w:pPr>
      <w:r>
        <w:rPr>
          <w:u w:val="single"/>
        </w:rPr>
        <w:t xml:space="preserve">(c-1)</w:t>
      </w:r>
      <w:r>
        <w:rPr>
          <w:u w:val="single"/>
        </w:rPr>
        <w:t xml:space="preserve"> </w:t>
      </w:r>
      <w:r>
        <w:rPr>
          <w:u w:val="single"/>
        </w:rPr>
        <w:t xml:space="preserve"> </w:t>
      </w:r>
      <w:r>
        <w:rPr>
          <w:u w:val="single"/>
        </w:rPr>
        <w:t xml:space="preserve">If a health care service provider provides services to a patient that are related to a personal injury claim for which the patient is represented by an attorney and unless otherwise directed by the patient or other responsible person, the provider may satisfy the requirements of Subsection (a) by submitting the bill to the patient's attorney not later than the first day of the 11th month after the date the services are provided.</w:t>
      </w:r>
    </w:p>
    <w:p w:rsidR="003F3435" w:rsidRDefault="0032493E">
      <w:pPr>
        <w:spacing w:line="480" w:lineRule="auto"/>
        <w:ind w:firstLine="720"/>
        <w:jc w:val="both"/>
      </w:pPr>
      <w:r>
        <w:t xml:space="preserve">(d)</w:t>
      </w:r>
      <w:r xml:space="preserve">
        <w:t> </w:t>
      </w:r>
      <w:r xml:space="preserve">
        <w:t> </w:t>
      </w:r>
      <w:r>
        <w:t xml:space="preserve">For purposes of this section, the date of billing is the date on which the health care service provider's bill is:</w:t>
      </w:r>
    </w:p>
    <w:p w:rsidR="003F3435" w:rsidRDefault="0032493E">
      <w:pPr>
        <w:spacing w:line="480" w:lineRule="auto"/>
        <w:ind w:firstLine="1440"/>
        <w:jc w:val="both"/>
      </w:pPr>
      <w:r>
        <w:t xml:space="preserve">(1)</w:t>
      </w:r>
      <w:r xml:space="preserve">
        <w:t> </w:t>
      </w:r>
      <w:r xml:space="preserve">
        <w:t> </w:t>
      </w:r>
      <w:r>
        <w:t xml:space="preserve">mailed to the patient</w:t>
      </w:r>
      <w:r>
        <w:rPr>
          <w:u w:val="single"/>
        </w:rPr>
        <w:t xml:space="preserve">,</w:t>
      </w:r>
      <w:r>
        <w:t xml:space="preserve"> [</w:t>
      </w:r>
      <w:r>
        <w:rPr>
          <w:strike/>
        </w:rPr>
        <w:t xml:space="preserve">or</w:t>
      </w:r>
      <w:r>
        <w:t xml:space="preserve">] responsible person, </w:t>
      </w:r>
      <w:r>
        <w:rPr>
          <w:u w:val="single"/>
        </w:rPr>
        <w:t xml:space="preserve">or attorney representing the patient, as applicable,</w:t>
      </w:r>
      <w:r>
        <w:t xml:space="preserve"> postage prepaid, at the address of the patient</w:t>
      </w:r>
      <w:r>
        <w:rPr>
          <w:u w:val="single"/>
        </w:rPr>
        <w:t xml:space="preserve">,</w:t>
      </w:r>
      <w:r>
        <w:t xml:space="preserve"> [</w:t>
      </w:r>
      <w:r>
        <w:rPr>
          <w:strike/>
        </w:rPr>
        <w:t xml:space="preserve">or</w:t>
      </w:r>
      <w:r>
        <w:t xml:space="preserve">] responsible person</w:t>
      </w:r>
      <w:r>
        <w:rPr>
          <w:u w:val="single"/>
        </w:rPr>
        <w:t xml:space="preserve">, or attorney representing the patient</w:t>
      </w:r>
      <w:r>
        <w:t xml:space="preserve"> as shown on the health care service provider's records; or</w:t>
      </w:r>
    </w:p>
    <w:p w:rsidR="003F3435" w:rsidRDefault="0032493E">
      <w:pPr>
        <w:spacing w:line="480" w:lineRule="auto"/>
        <w:ind w:firstLine="1440"/>
        <w:jc w:val="both"/>
      </w:pPr>
      <w:r>
        <w:t xml:space="preserve">(2)</w:t>
      </w:r>
      <w:r xml:space="preserve">
        <w:t> </w:t>
      </w:r>
      <w:r xml:space="preserve">
        <w:t> </w:t>
      </w:r>
      <w:r>
        <w:t xml:space="preserve">mailed or otherwise submitted to the issuer of the health benefit plan or third party payor as required by the health benefit plan or third party payor.</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The change in law made by this Act applies only to a health care service provided on or after the effective date of this Act.  A health care service provided before the effective date of this Act is governed by the law in effect immediately before the effective date of this Act, and that law is continued in effect for that purpose.</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This Act takes effect September 1, 2025.</w:t>
      </w:r>
    </w:p>
    <w:p w:rsidR="003F3435" w:rsidRDefault="0032493E">
      <w:pPr>
        <w:spacing w:line="480" w:lineRule="auto"/>
        <w:jc w:val="center"/>
      </w:pPr>
      <w:r>
        <w:t xml:space="preserve">* * * * *</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4145</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