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Noble, Leach, Hunter, Metcalf,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4211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certain residential property interests controlled by certain entities.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Title 12, Property Code, is amended by adding Chapter 223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223.  BUSINESS ENTITY-OWNED RESIDENTIAL ARRANGEMENTS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223.001.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"Business entity" means a partnership, corporation, joint venture, limited liability company, or other business organization or business association, however organized.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"Managing entity" means a business entity that owns residential property used in a residential arrangement.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"Residential arrangement" means an arrangement in which the purchaser of an interest in a business entity is entitled to exclusive possession of residential property owned by the entity as long as the purchaser holds the interest in the business entity.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"Residential property" means the real property and improvements for a single-family house, duplex, triplex, or quadruplex.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223.002.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APPLICABILITY.  This chapter does not apply to a timeshare plan, as defined by Section 221.002.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223.003.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AGREEMENTS AND RULES.  (a)  An agreement for the purchase of an interest in a managing entity must disclose to the purchaser that the agreement is for the purchase of an interest in the entity and not in any residential property itself.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purchase agreement and any other agreement or rules governing the residential arrangement or the ownership interest in the entity may not require that a dispute concerning the arrangement or interest be brought before a tribunal other than a court established under the laws of this state or the United States.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223.004.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DISCRIMINATION PROHIBITED.  A managing entity may not take an action with respect to an interest in the entity in a manner that would be a violation of Chapter 301 if the interest in the entity were an interest in real property, including: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restricting the transfer of the interest;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imposing requirements to maintain the interest;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refusing to grant an interest to an otherwise qualified person.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223.005.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TRANSFER OF INTEREST.  Notwithstanding any provision in an agreement between the owner and a managing entity, an owner of an interest in a managing entity may transfer the interest without approval from the managing entity.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223.006.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CERTAIN CHARGES PROHIBITED.  A managing entity may not charge a fee for or share in the proceeds of the transfer of an interest in the managing entity from an owner to a subsequent purchaser.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223.007.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ENFORCEMENT.  (a)  A violation of this chapter is a deceptive trade practice actionable under Subchapter E, Chapter 17, Business &amp; Commerce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court that finds a violation of this chapter may enjoin a managing entity or a person affiliated with the managing entity from taking action in furtherance of development of or construction on residential property used in a residential arrangement subject to an action under this section, including: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filing a petition with the Texas Commission on Environmental Quality for the creation of a district under Chapter 49, Water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taking action in connection with a petition for the creation of a district described by Subdivision (1) filed with the Texas Commission on Environmental Quality before the issuance of the injunction;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receiving, directly or indirectly, any public money or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</w:t>
      </w:r>
      <w:r>
        <w:t xml:space="preserve">ion 301.042, Property Code, is amended by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(a) does not apply to the sale, rental, or occupancy of a dwelling that is a single-family house, duplex, triplex, or quadruplex located on a subdivided lot in a parcel of land 25 acres or greater owned by a religious organization, association, or society or a nonprofit institution or organization operated, supervised, or controlled by or in conjunction with a religious organization, association, or society.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4211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