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4211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residential property interests controlled by certain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12, Property Code, is amended by adding Chapter 223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223.  BUSINESS ENTITY-OWNED RESIDENTIAL ARRANGEMENTS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 entity" means a partnership, corporation, joint venture, limited liability company, or other business organization or business association, however organized.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"Managing entity" means a business entity that owns residential property used in a residential arrangement.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arrangement" means an arrangement in which the purchaser of an interest in a business entity is entitled to exclusive possession of residential property owned by the entity as long as the purchaser holds the interest in the business entity.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property" means the real property and improvements for a single-family house, duplex, triplex, or quadruplex.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chapter does not apply to a timeshare plan, as defined by Section 221.002.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AGREEMENTS AND RULES.  (a)  An agreement for the purchase of an interest in a managing entity must disclose to the purchaser that the agreement is for the purchase of an interest in the entity and not in any residential property itself.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agreement and any other agreement or rules governing the residential arrangement or the ownership interest in the entity may not require that a dispute concerning the arrangement or interest be brought before a tribunal other than a court established under the laws of this state or the United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PROHIBITED.  A managing entity may not take an action with respect to an interest in the entity in a manner that would be a violation of Chapter 301 if the interest in the entity were an interest in real property,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restricting the transfer of the interest;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imposing requirements to maintain the interest;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refusing to grant an interest to an otherwise qualified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INTEREST.  Notwithstanding any provision in an agreement between the owner and a managing entity, an owner of an interest in a managing entity may transfer the interest without approval from the managing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CHARGES PROHIBITED.  A managing entity may not charge a fee for or share in the proceeds of the transfer of an interest in the managing entity from an owner to a subsequent purchaser.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ENFORCEMENT.  (a) </w:t>
      </w:r>
      <w:r>
        <w:rPr>
          <w:u w:val="single"/>
        </w:rPr>
        <w:t xml:space="preserve"> </w:t>
      </w:r>
      <w:r>
        <w:rPr>
          <w:u w:val="single"/>
        </w:rPr>
        <w:t xml:space="preserve">A violation of this chapter is a deceptive trade practice actionable under Subchapter E, Chapter 17,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that finds a violation of this chapter may enjoin a managing entity or a person affiliated with the managing entity from taking action in furtherance of development of or construction on residential property used in a residential arrangement subject to an action under this section,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filing a petition with the Texas Commission on Environmental Quality for the creation of a municipal utility district under Chapter 49, Water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taking action in connection with a petition for the creation of a district described by Subdivision (1) filed with the Texas Commission on Environmental Quality before the issuance of the injunction;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receiving, directly or indirectly, any public money or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301.042, Property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the sale, rental, or occupancy of a dwelling that is a single-family house, duplex, triplex, or quadruplex located on a subdivided lot in a parcel of land 25 acres or greater owned by a religious organization, association, or society or a nonprofit institution or organization operated, supervised, or controlled by or in conjunction with a religious organization, association, or society.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4211 was passed by the House on May 8, 2025, by the following vote:</w:t>
      </w:r>
      <w:r xml:space="preserve">
        <w:t> </w:t>
      </w:r>
      <w:r xml:space="preserve">
        <w:t> </w:t>
      </w:r>
      <w:r>
        <w:t xml:space="preserve">Yeas 104, Nays 41, 2 present, not voting; and that the House concurred in Senate amendments to H.B. No. 4211 on May 29, 2025, by the following vote:</w:t>
      </w:r>
      <w:r xml:space="preserve">
        <w:t> </w:t>
      </w:r>
      <w:r xml:space="preserve">
        <w:t> </w:t>
      </w:r>
      <w:r>
        <w:t xml:space="preserve">Yeas 110, Nays 26,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4211 was passed by the Senate, with amendments, on May 27, 2025,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