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89R15784 SCR-D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Noble, Leach,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residential property interests controlled by certain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12, Property Code, is amended by adding Chapter 223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223.  BUSINESS ENTITY-OWNED RESIDENTIAL ARRANGEMENTS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"Business entity" means a partnership, corporation, joint venture, limited liability company, or other business organization or business association, however organized.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"Managing entity" means a business entity that owns residential property used in a residential arrangement.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"Residential arrangement" means an arrangement in which the purchaser of an interest in a business entity is entitled to exclusive possession of residential property owned by the entity as long as the purchaser holds the interest in the business entity.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"Residential property" means the real property and improvements for a single-family house, duplex, triplex, or quadruplex.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chapter does not apply to a timeshare plan, as defined by Section 221.002.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AGREEMENTS AND RULES.  (a)  An agreement for the purchase of an interest in a managing entity must disclose to the purchaser that the agreement is for the purchase of an interest in the entity and not in any residential property itself.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purchase agreement and any other agreement or rules governing the residential arrangement or the ownership interest in the entity may not require that a dispute concerning the arrangement or interest be brought before a tribunal other than a court established under the laws of this state or the United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DISCRIMINATION PROHIBITED.  A managing entity may not take an action with respect to an interest in the entity in a manner that would be a violation of Chapter 301 if the interest in the entity were an interest in real property,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restricting the transfer of the interest;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imposing requirements to maintain the interest;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refusing to grant an interest to an otherwise qualified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OF INTEREST.  Notwithstanding any provision in an agreement between the owner and a managing entity, an owner of an interest in a managing entity may transfer the interest without approval from the managing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CHARGES PROHIBITED.  A managing entity may not charge a fee for or share in the proceeds of the transfer of an interest in the managing entity from an owner to a subsequent purchaser.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DECEPTIVE TRADE PRACTICE.  A violation of this chapter is a deceptive trade practice under Subchapter E, Chapter 17,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301.042, Property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the sale, rental, or occupancy of a dwelling that is a single-family house, duplex, triplex, or quadruplex located on a subdivided lot in a parcel of land 25 acres or greater owned by a religious organization, association, or society or a nonprofit institution or organization operated, supervised, or controlled by or in conjunction with a religious organization, association, or society.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