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89R15784 SCR-D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residential property interests controlled by certain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12, Property Code, is amended by adding Chapter 223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223.  BUSINESS ENTITY-OWNED RESIDENTIAL ARRANGEMENTS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 entity" means a partnership, corporation, joint venture, limited liability company, or other business organization or business association, however organized.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"Managing entity" means a business entity that owns residential property used in a residential arrangement.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arrangement" means an arrangement in which the purchaser of an interest in a business entity is entitled to exclusive possession of residential property owned by the entity as long as the purchaser holds the interest in the business entity.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"Residential property" means the real property and improvements for a single-family house, duplex, triplex, or quadruplex.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does not apply to a timeshare plan, as defined by Section 221.002.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AGREEMENTS AND RULES.  (a)  An agreement for the purchase of an interest in a managing entity must disclose to the purchaser that the agreement is for the purchase of an interest in the entity and not in any residential property itself.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PROHIBITED.  A managing entity may not take an action with respect to an interest in the entity in a manner that would be a violation of Chapter 301 if the interest in the entity were an interest in real property,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restricting the transfer of the interest;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imposing requirements to maintain the interest;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refusing to grant an interest to an otherwise qualified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INTEREST.  Notwithstanding any provision in an agreement between the owner and a managing entity, an owner of an interest in a managing entity may transfer the interest without approval from the managing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CHARGES PROHIBITED.  A managing entity may not charge a fee for or share in the proceeds of the transfer of an interest in the managing entity from an owner to a subsequent purchaser.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223.007.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deceptive trade practice under Subchapter E, Chapter 17,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301.042, Property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the sale, rental, or occupancy of a dwelling that is a single-family house, duplex, triplex, or quadruplex located on a subdivided lot in a parcel of land 25 acres or greater owned by a religious organization, association, or society or a nonprofit institution or organization operated, supervised, or controlled by or in conjunction with a religious organization, association, or society.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