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4238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Business &amp; Commerce; May</w:t>
      </w:r>
      <w:r xml:space="preserve">
        <w:t> </w:t>
      </w:r>
      <w:r>
        <w:t xml:space="preserve">15,</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4238</w:t>
      </w:r>
      <w:r xml:space="preserve">
        <w:tab wTab="150" tlc="none" cTlc="0"/>
      </w:r>
      <w:r>
        <w:t xml:space="preserve">By:</w:t>
      </w:r>
      <w:r xml:space="preserve">
        <w:t> </w:t>
      </w:r>
      <w:r xml:space="preserve">
        <w:t> </w:t>
      </w:r>
      <w:r>
        <w:t xml:space="preserve">Zaffirini</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collection of consumer debt incurred by certain individuals as a result of identity theft.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392, Finance Code, is amended by adding Section 392.308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392.308.</w:t>
      </w:r>
      <w:r>
        <w:rPr>
          <w:u w:val="single"/>
        </w:rPr>
        <w:t xml:space="preserve"> </w:t>
      </w:r>
      <w:r>
        <w:rPr>
          <w:u w:val="single"/>
        </w:rPr>
        <w:t xml:space="preserve"> </w:t>
      </w:r>
      <w:r>
        <w:rPr>
          <w:u w:val="single"/>
        </w:rPr>
        <w:t xml:space="preserve">CONSUMER VICTIM OF IDENTITY THEFT.  (a) </w:t>
      </w:r>
      <w:r>
        <w:rPr>
          <w:u w:val="single"/>
        </w:rPr>
        <w:t xml:space="preserve"> </w:t>
      </w:r>
      <w:r>
        <w:rPr>
          <w:u w:val="single"/>
        </w:rPr>
        <w:t xml:space="preserve">In this section, "identity theft"</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violation of Section 521.051, Business &amp; Commerce Code, or a substantially similar federal law or law in another state;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offense described by Section 32.51, Penal Code, or a substantially similar federal law or law in another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consumer debt that is a home loan, as defined by Chapter 343, or to the collection of a judgment already obtained.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creditor, debt collector, or third-party debt collector may not attempt to collect a consumer debt or a portion of a consumer debt from a consumer if the consumer provides a court order issued under Section 521.103, Business &amp; Commerce Code, or a substantially similar federal law or law in another state, declaring the consumer a victim of identity theft.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creditor, debt collector, or third-party debt collector who receives notice that a consumer debt is a result of identity theft from a victim of identity theft in accordance with Subsection (c):</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not later than the seventh business day after the creditor, debt collector, or third-party debt collector receives the notice, cease efforts to collect the disputed debt or disputed portion of the debt from the victim of identity theft;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send to each person who has previously received a report relating to that debt from the creditor, debt collector, or third-party debt collector notice that the debt is disputed under this section and not collectible from the victim of identity theft;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sell the debt or transfer it for consideration, except to collect the debt from the alleged perpetrator of identity theft or from a responsible person other than the victim of identity theft;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if the disputed debt or disputed portion of the debt is secured by tangible personal property, enforce the security interest under Chapter 9, Business &amp; Commerce Code, but may not collect or seek to collect any deficiency from the victim of identity theft.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creditor, debt collector, or third-party debt collector has standing to bring and may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4238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