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4281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civil cause of action for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Title 4, Civil Practice and Remedies Code, is amended by adding Chapter 100B to read as follows:</w:t>
      </w:r>
    </w:p>
    <w:p w:rsidR="003F3435" w:rsidRDefault="0032493E">
      <w:pPr>
        <w:spacing w:line="480" w:lineRule="auto"/>
        <w:jc w:val="center"/>
      </w:pPr>
      <w:r>
        <w:rPr>
          <w:u w:val="single"/>
        </w:rPr>
        <w:t xml:space="preserve">CHAPTER 100B.  LIABILITY FOR FRAUDULENT CROWDFUNDING</w:t>
      </w:r>
      <w:r>
        <w:t xml:space="preserve"> 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100B.001.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DEFINITION.  In this chapter, "fraudulent crowdfunding" means collecting donations on behalf of a donee with the intent to keep the donations instead of giving the donations to the donee on whose behalf the donations were made.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LIABILITY FOR FRAUDULENT CROWDFUNDING.  A person who engages in fraudulent crowdfunding is liable to the donee on whose behalf the donations were made or the donee's estate.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100B.003.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DAMAGES.  (a) </w:t>
      </w:r>
      <w:r>
        <w:rPr>
          <w:u w:val="single"/>
        </w:rPr>
        <w:t xml:space="preserve"> </w:t>
      </w:r>
      <w:r>
        <w:rPr>
          <w:u w:val="single"/>
        </w:rPr>
        <w:t xml:space="preserve">A court shall award a donee or donee's estate who prevails in an action brought under this chapter: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125 percent of the amount of donations the defendant collected on behalf of the donee through the fraudulent crowdfunding;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reasonable and necessary attorney's fees.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Nothing in this section prevents the donee or the donee's estate from pursuing a claim for exemplary damages under Chapter 41 for the defendant's fraudulent crowdfunding.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Chapter 100B, Civil Practice and Remedies Code, as added by this Act, applies only to a cause of action that accrues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President of the Senate</w:t>
      </w:r>
      <w:r xml:space="preserve">
        <w:tab wTab="150" tlc="none" cTlc="0"/>
      </w:r>
      <w:r>
        <w:t xml:space="preserve">Speaker of the House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4281 was passed by the House on May 14, 2025, by the following vote:</w:t>
      </w:r>
      <w:r xml:space="preserve">
        <w:t> </w:t>
      </w:r>
      <w:r xml:space="preserve">
        <w:t> </w:t>
      </w:r>
      <w:r>
        <w:t xml:space="preserve">Yeas 143, Nays 0, 2 present, not voting.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Chief Clerk of the House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F3435"/>
    <w:p w:rsidR="003F3435" w:rsidRDefault="0032493E">
      <w:pPr>
        <w:spacing w:line="480" w:lineRule="auto"/>
        <w:ind w:firstLine="720"/>
        <w:jc w:val="both"/>
      </w:pPr>
      <w:r>
        <w:t xml:space="preserve">I certify that H.B. No. 4281 was passed by the Senate on May 26, 2025, by the following vote:</w:t>
      </w:r>
      <w:r xml:space="preserve">
        <w:t> </w:t>
      </w:r>
      <w:r xml:space="preserve">
        <w:t> </w:t>
      </w:r>
      <w:r>
        <w:t xml:space="preserve">Yeas 30, Nays 1.</w:t>
      </w:r>
    </w:p>
    <w:p w:rsidR="003F3435" w:rsidRDefault="0032493E">
      <w:pPr>
        <w:spacing w:line="480" w:lineRule="auto"/>
        <w:jc w:val="right"/>
      </w:pPr>
      <w:r>
        <w:t xml:space="preserve">______________________________</w:t>
      </w:r>
    </w:p>
    <w:p w:rsidR="003F3435" w:rsidRDefault="0032493E">
      <w:pPr>
        <w:spacing w:line="480" w:lineRule="auto"/>
        <w:jc w:val="right"/>
      </w:pPr>
      <w:r>
        <w:t xml:space="preserve">Secretary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>
        <w:t xml:space="preserve">APPROVED: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_____________________</w:t>
      </w:r>
    </w:p>
    <w:p w:rsidR="003F3435" w:rsidRDefault="0032493E">
      <w:pPr>
        <w:spacing w:line="480" w:lineRule="auto"/>
        <w:jc w:val="both"/>
      </w:pP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4281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