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89R26024 MZM-F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McQueeney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4281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4281: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Leach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4281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civil cause of action for fraudulent crowdfunding.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Title 4, Civil Practice and Remedies Code, is amended by adding Chapter 100B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100B.  LIABILITY FOR FRAUDULENT CROWDFUNDING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DEFINITION.  In this chapter, "fraudulent crowdfunding" means collecting donations on behalf of a donee with the intent to keep the donations instead of giving the donations to the donee on whose behalf the donations were made.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LIABILITY FOR FRAUDULENT CROWDFUNDING.  A person who engages in fraudulent crowdfunding is liable to the donee on whose behalf the donations were made or the donee's estate.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DAMAGES.  (a) </w:t>
      </w:r>
      <w:r>
        <w:rPr>
          <w:u w:val="single"/>
        </w:rPr>
        <w:t xml:space="preserve"> </w:t>
      </w:r>
      <w:r>
        <w:rPr>
          <w:u w:val="single"/>
        </w:rPr>
        <w:t xml:space="preserve">A court shall award a claimant who prevails in an action brought under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125 percent of the amount of donations the defendant collected on behalf of the claimant through the fraudulent crowdfunding;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reasonable attorney's fees.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Nothing in this section prevents a claimant from pursuing a claim for exemplary damages under Chapter 41 for the defendant's fraudulent crowdfunding.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Chapter 100B, Civil Practice and Remedies Code, as added by this Act,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4281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