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Moody, et al.</w:t>
      </w:r>
      <w:r xml:space="preserve">
        <w:tab wTab="150" tlc="none" cTlc="0"/>
      </w:r>
      <w:r>
        <w:t xml:space="preserve">H.B.</w:t>
      </w:r>
      <w:r xml:space="preserve">
        <w:t> </w:t>
      </w:r>
      <w:r>
        <w:t xml:space="preserve">No.</w:t>
      </w:r>
      <w:r xml:space="preserve">
        <w:t> </w:t>
      </w:r>
      <w:r>
        <w:t xml:space="preserve">4325</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Hinojosa of Hidalgo)</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6,</w:t>
      </w:r>
      <w:r xml:space="preserve">
        <w:t> </w:t>
      </w:r>
      <w:r>
        <w:t xml:space="preserve">2025; May</w:t>
      </w:r>
      <w:r xml:space="preserve">
        <w:t> </w:t>
      </w:r>
      <w:r>
        <w:t xml:space="preserve">7,</w:t>
      </w:r>
      <w:r xml:space="preserve">
        <w:t> </w:t>
      </w:r>
      <w:r>
        <w:t xml:space="preserve">2025, read first time and referred to Committee on Jurisprudence; May</w:t>
      </w:r>
      <w:r xml:space="preserve">
        <w:t> </w:t>
      </w:r>
      <w:r>
        <w:t xml:space="preserve">19,</w:t>
      </w:r>
      <w:r xml:space="preserve">
        <w:t> </w:t>
      </w:r>
      <w:r>
        <w:t xml:space="preserve">2025, reported favorably by the following vote:</w:t>
      </w:r>
      <w:r>
        <w:t xml:space="preserve"> </w:t>
      </w:r>
      <w:r>
        <w:t xml:space="preserve"> </w:t>
      </w:r>
      <w:r>
        <w:t xml:space="preserve">Yeas 5,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civil liability for prohibited barratry.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82.0651(d), Government Code, is amended to read as follows:</w:t>
      </w:r>
    </w:p>
    <w:p w:rsidR="003F3435" w:rsidRDefault="0032493E">
      <w:pPr>
        <w:spacing w:line="480" w:lineRule="auto"/>
        <w:ind w:firstLine="720"/>
        <w:jc w:val="both"/>
      </w:pPr>
      <w:r>
        <w:t xml:space="preserve">(d)</w:t>
      </w:r>
      <w:r xml:space="preserve">
        <w:t> </w:t>
      </w:r>
      <w:r xml:space="preserve">
        <w:t> </w:t>
      </w:r>
      <w:r>
        <w:t xml:space="preserve">A person who prevails in an action under Subsection (c) shall recover from each person who engaged in barratry:</w:t>
      </w:r>
    </w:p>
    <w:p w:rsidR="003F3435" w:rsidRDefault="0032493E">
      <w:pPr>
        <w:spacing w:line="480" w:lineRule="auto"/>
        <w:ind w:firstLine="1440"/>
        <w:jc w:val="both"/>
      </w:pPr>
      <w:r>
        <w:t xml:space="preserve">(1)</w:t>
      </w:r>
      <w:r xml:space="preserve">
        <w:t> </w:t>
      </w:r>
      <w:r xml:space="preserve">
        <w:t> </w:t>
      </w:r>
      <w:r>
        <w:t xml:space="preserve">a penalty in the amount of </w:t>
      </w:r>
      <w:r>
        <w:rPr>
          <w:u w:val="single"/>
        </w:rPr>
        <w:t xml:space="preserve">$50,000</w:t>
      </w:r>
      <w:r>
        <w:t xml:space="preserve"> [</w:t>
      </w:r>
      <w:r>
        <w:rPr>
          <w:strike/>
        </w:rPr>
        <w:t xml:space="preserve">$10,000</w:t>
      </w:r>
      <w:r>
        <w:t xml:space="preserve">];</w:t>
      </w:r>
    </w:p>
    <w:p w:rsidR="003F3435" w:rsidRDefault="0032493E">
      <w:pPr>
        <w:spacing w:line="480" w:lineRule="auto"/>
        <w:ind w:firstLine="1440"/>
        <w:jc w:val="both"/>
      </w:pPr>
      <w:r>
        <w:t xml:space="preserve">(2)</w:t>
      </w:r>
      <w:r xml:space="preserve">
        <w:t> </w:t>
      </w:r>
      <w:r xml:space="preserve">
        <w:t> </w:t>
      </w:r>
      <w:r>
        <w:t xml:space="preserve">actual damages caused by the prohibited conduct; and</w:t>
      </w:r>
    </w:p>
    <w:p w:rsidR="003F3435" w:rsidRDefault="0032493E">
      <w:pPr>
        <w:spacing w:line="480" w:lineRule="auto"/>
        <w:ind w:firstLine="1440"/>
        <w:jc w:val="both"/>
      </w:pPr>
      <w:r>
        <w:t xml:space="preserve">(3)</w:t>
      </w:r>
      <w:r xml:space="preserve">
        <w:t> </w:t>
      </w:r>
      <w:r xml:space="preserve">
        <w:t> </w:t>
      </w:r>
      <w:r>
        <w:t xml:space="preserve">reasonable and necessary attorney's fees.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82.0651(d), Government Code, as amended by this Act, applies only to an action filed on or after the effective date of this Act. </w:t>
      </w:r>
      <w:r>
        <w:t xml:space="preserve"> </w:t>
      </w:r>
      <w:r>
        <w:t xml:space="preserve">An action filed before the effective date of this Act is governed by the law in effect on the date the action was filed,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