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89R26305 EAS-D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Hickland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4466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4466: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VanDeaver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4466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restrictions on the fee assessed for issuance of certain birth records.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191.0046, Health and Safety Code, is amended by adding Subsection (g)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registrar, a local registrar, or a county clerk, on request of a county or a child welfare board appointed by the commissioners court of a county under Section 264.005, Family Code, shall issue without a fee a certified copy of a birth record to the county or board if the request is related to a suit affecting the parent-child relationship filed by a governmental entity under Subtitle E, Title 5, Family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4466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