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4490</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required disclosure of information related to the next of kin of deceased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 Article 49.25, Code of Criminal Procedure,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information relating to the next of kin of a decedent is excepted from required public disclosure in accordance with Chapter 552, Government Code, but is subject to disclosure under subpoena or authority of other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to a request for information that is received by a governmental body or an officer of public information on or after the effective date of this Act. </w:t>
      </w:r>
      <w:r>
        <w:t xml:space="preserve"> </w:t>
      </w:r>
      <w:r>
        <w:t xml:space="preserve">A request for information that was received before the effective date of this Act is governed by the law in effect on the date the request was received,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4490 was passed by the House on May 1, 2025, by the following vote:</w:t>
      </w:r>
      <w:r xml:space="preserve">
        <w:t> </w:t>
      </w:r>
      <w:r xml:space="preserve">
        <w:t> </w:t>
      </w:r>
      <w:r>
        <w:t xml:space="preserve">Yeas 143, Nays 1,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4490 was passed by the Senate on May 22,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