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89R23762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Metcalf, et al.</w:t>
      </w:r>
      <w:r xml:space="preserve">
        <w:tab wTab="150" tlc="none" cTlc="0"/>
      </w:r>
      <w:r>
        <w:t xml:space="preserve">H.B.</w:t>
      </w:r>
      <w:r xml:space="preserve">
        <w:t> </w:t>
      </w:r>
      <w:r>
        <w:t xml:space="preserve">No.</w:t>
      </w:r>
      <w:r xml:space="preserve">
        <w:t> </w:t>
      </w:r>
      <w:r>
        <w:t xml:space="preserve">4503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4503:</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4503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health record requirements;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entity"</w:t>
      </w:r>
      <w:r>
        <w:rPr>
          <w:u w:val="single"/>
        </w:rPr>
        <w:t xml:space="preserve"> </w:t>
      </w:r>
      <w:r>
        <w:rPr>
          <w:u w:val="single"/>
        </w:rPr>
        <w:t xml:space="preserve">has the meaning assigned by Section 181.001. </w:t>
      </w:r>
      <w:r>
        <w:rPr>
          <w:u w:val="single"/>
        </w:rPr>
        <w:t xml:space="preserve"> </w:t>
      </w:r>
      <w:r>
        <w:rPr>
          <w:u w:val="single"/>
        </w:rPr>
        <w:t xml:space="preserve">The term includes a health care practitioner.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home and community support services agency licensed under Chapter 142;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nursing facility licensed under Chapter 242;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continuing care facility regulated under Chapter 246;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intermediate care facility licensed under Chapter 252;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day activity and health services facility licensed under Chapter 103, Human Resources Code;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provider under the Texas home living (TxHmL) or home and community-based services (HCS) waiver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and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A covered entity shall ensure that electronic health records under the control of the entity that contain patient information are physically maintained in the United States or a territory of the United States. </w:t>
      </w:r>
      <w:r>
        <w:rPr>
          <w:u w:val="single"/>
        </w:rPr>
        <w:t xml:space="preserve"> </w:t>
      </w:r>
      <w:r>
        <w:rPr>
          <w:u w:val="single"/>
        </w:rPr>
        <w:t xml:space="preserve">This subsection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health records that are stored by a third-party or subcontracted computing facility or an entity that provides cloud computing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health records that are stored using a technology through which patient information may be electronically retrieved, accessed, or transmitted.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that the electronic health record information of this state's residents, other than open data, is accessible only to individuals who require the information to perform duties within the scope of the individual's employment related to treatment, payment, or health care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covered entity shall implement reasonable and appropriate administrative, physical, and technical safeguards to protect the confidentiality, integrity, and availability of electronic health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covered entity shall ensure each electronic health record maintained for an individual includes the option for a health care practitioner to collect and record communications between two or more covered entities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covered entity may not collect, store, or share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w:t>
      </w:r>
      <w:r>
        <w:rPr>
          <w:u w:val="single"/>
        </w:rPr>
        <w:t xml:space="preserve"> </w:t>
      </w:r>
      <w:r>
        <w:rPr>
          <w:u w:val="single"/>
        </w:rPr>
        <w:t xml:space="preserve">A health care practitioner who uses artificial intelligence for diagnostic purposes, including the use of artificial intelligence for recommendations on a diagnosis or course of treatment based on a patient's medical record, shall review all records created with artificial intelligence to ensure that the data is accurate and properly managed.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uses artificial intelligence for diagnostic purposes as described by Subsection (a) must disclose the practitioner's use of that technology to the practitioner's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17 years of age or younger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each electronic health record system the entity uses to store electronic health records of minors allows a minor's parent or, if applicable, the minor's managing conservator or guardian to obtain complete and unrestricted access to the minor's electronic health record immediately upon request, unless access to all or part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covered entity in this state includes a separate space for the entity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includes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covered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covered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INVESTIGATION BY COMMISSION OR REGULATORY AGENCY.  The commission or the appropriate regulatory agency shall conduct an investigation of any credible allegation of a violation of this chapter by a covered entity. </w:t>
      </w:r>
      <w:r>
        <w:rPr>
          <w:u w:val="single"/>
        </w:rPr>
        <w:t xml:space="preserve"> </w:t>
      </w:r>
      <w:r>
        <w:rPr>
          <w:u w:val="single"/>
        </w:rPr>
        <w:t xml:space="preserve">The commission or agency shall ensure the investigation is conducted in compliance with all applicable state and federal laws, including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DISCIPLINARY ACTION BY REGULATORY AGENCY. </w:t>
      </w:r>
      <w:r>
        <w:rPr>
          <w:u w:val="single"/>
        </w:rPr>
        <w:t xml:space="preserve"> </w:t>
      </w:r>
      <w:r>
        <w:rPr>
          <w:u w:val="single"/>
        </w:rPr>
        <w:t xml:space="preserve">The appropriate regulatory agency may take disciplinary action against a covered entity that violates this chapter three or more times in the same manner as if the covered entity violated an applicable licensing or regulatory law. </w:t>
      </w:r>
      <w:r>
        <w:rPr>
          <w:u w:val="single"/>
        </w:rPr>
        <w:t xml:space="preserve"> </w:t>
      </w:r>
      <w:r>
        <w:rPr>
          <w:u w:val="single"/>
        </w:rPr>
        <w:t xml:space="preserve">The disciplinary action may include license, registration, or certification suspension or revocation for a period the agency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183.011.</w:t>
      </w:r>
      <w:r>
        <w:rPr>
          <w:u w:val="single"/>
        </w:rPr>
        <w:t xml:space="preserve"> </w:t>
      </w:r>
      <w:r>
        <w:rPr>
          <w:u w:val="single"/>
        </w:rPr>
        <w:t xml:space="preserve"> </w:t>
      </w:r>
      <w:r>
        <w:rPr>
          <w:u w:val="single"/>
        </w:rPr>
        <w:t xml:space="preserve">INJUNCTIVE RELIEF; CIVIL PENALTY. </w:t>
      </w:r>
      <w:r>
        <w:rPr>
          <w:u w:val="single"/>
        </w:rPr>
        <w:t xml:space="preserve"> </w:t>
      </w:r>
      <w:r>
        <w:rPr>
          <w:u w:val="single"/>
        </w:rPr>
        <w:t xml:space="preserve">(a) </w:t>
      </w:r>
      <w:r>
        <w:rPr>
          <w:u w:val="single"/>
        </w:rPr>
        <w:t xml:space="preserve"> </w:t>
      </w:r>
      <w:r>
        <w:rPr>
          <w:u w:val="single"/>
        </w:rPr>
        <w:t xml:space="preserve">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civil penalties against a covered entity for a violation of this chapter.</w:t>
      </w:r>
      <w:r>
        <w:rPr>
          <w:u w:val="single"/>
        </w:rPr>
        <w:t xml:space="preserve"> </w:t>
      </w:r>
      <w:r>
        <w:rPr>
          <w:u w:val="single"/>
        </w:rPr>
        <w:t xml:space="preserve"> </w:t>
      </w:r>
      <w:r>
        <w:rPr>
          <w:u w:val="single"/>
        </w:rPr>
        <w:t xml:space="preserve">A civil penalty assessed under this 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violation that is committed negligently and that occurs in a single year, regardless of how long the violation continues during that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each violation that is committed knowingly or intentionally and that occurs in a single year, regardless of how long the violation continues during that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$250,000 for each violation in which the covered entity knowingly or intentionally used protected health information for financial gain.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183.012.</w:t>
      </w:r>
      <w:r>
        <w:rPr>
          <w:u w:val="single"/>
        </w:rPr>
        <w:t xml:space="preserve"> </w:t>
      </w:r>
      <w:r>
        <w:rPr>
          <w:u w:val="single"/>
        </w:rPr>
        <w:t xml:space="preserve"> </w:t>
      </w:r>
      <w:r>
        <w:rPr>
          <w:u w:val="single"/>
        </w:rPr>
        <w:t xml:space="preserve">MEMORANDUM OF UNDERSTANDING; RULES.  The executive commissioner, the Texas Medical Board, the Texas Department of Licensing and Regulation, the Texas Department of Insurance, and each regulatory agency subject to this chapter shall enter into a memorandum of understanding and, as necessary,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