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McQueeney, Capriglione, Bonnen, Hull,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Patterson,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COVID-19 vaccine administration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VACCINATION ADMINISTRATION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"COVID-19" means the 2019 novel coronavirus disease.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licensed or otherwise authorized by this state to administer vaccines.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administering a COVID-19 vaccination to an individual, a health care provider must obtain the individual's written informed consent, or if the individual is a minor or lacks the mental capacity to provide informed consent, the parent, guardian, or conservator who may provide written informed consent on the individual's behalf. </w:t>
      </w:r>
      <w:r>
        <w:rPr>
          <w:u w:val="single"/>
        </w:rPr>
        <w:t xml:space="preserve"> </w:t>
      </w:r>
      <w:r>
        <w:rPr>
          <w:u w:val="single"/>
        </w:rPr>
        <w:t xml:space="preserve">The informed consent required under this section must include an acknowledgment that the individual providing informed consent received the information sheet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 standardized information sheet that includes information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benefits and </w:t>
      </w:r>
      <w:r>
        <w:rPr>
          <w:u w:val="single"/>
        </w:rPr>
        <w:t xml:space="preserve">risks associated with COVID-19 vaccination, including potential side effects;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expedited manner in which the COVID-19 vaccine was developed;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long-term scientific studies have been performed on the COVID-19 vaccine;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manufacturers of the COVID-19 vaccine are subject to civil liability for any injuries caused by the vaccine;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Vaccine Adverse Event Reporting System, including clear instructions for reporting any vaccine-related injury or reaction.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appropriate licensing authority may impose disciplinary action on a health care provider who administers a COVID-19 vaccination in violation of this section in the same manner and using the same procedures as the authority uses to impose disciplinary action on a provider who violates the authority's licensing or other regulatory laws or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