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89R15207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McQueeney, Capriglione, Bonnen, Hull,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4535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Patterson,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COVID-19 vaccine administration requirements.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161, Health and Safety Code, is amended by adding Section 161.0086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161.0086.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COVID-19 VACCINATION ADMINISTRATION REQUIREMENTS.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"COVID-19" means the 2019 novel coronavirus disease.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care provider" means an individual licensed or otherwise authorized by this state to administer vaccines.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administering a COVID-19 vaccination to an individual, a health care provider must obtain the individual's written informed consent, or if the individual is a minor or lacks the mental capacity to provide informed consent, the parent, guardian, or conservator who may provide written informed consent on the individual's behalf. </w:t>
      </w:r>
      <w:r>
        <w:rPr>
          <w:u w:val="single"/>
        </w:rPr>
        <w:t xml:space="preserve"> </w:t>
      </w:r>
      <w:r>
        <w:rPr>
          <w:u w:val="single"/>
        </w:rPr>
        <w:t xml:space="preserve">The informed consent required under this section must include an acknowledgment that the individual providing informed consent received the information sheet described by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develop a standardized information sheet that includes information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risks associated with COVID-19 vaccination, including potential side effects;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expedited manner in which the COVID-19 vaccine was developed;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long-term scientific studies have been performed on the COVID-19 vaccine;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manufacturers of the COVID-19 vaccine are subject to civil liability for any injuries caused by the vaccine;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federal Vaccine Adverse Event Reporting System, including clear instructions for reporting any vaccine-related injury or reaction.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appropriate licensing authority may impose disciplinary action on a health care provider who administers a COVID-19 vaccination in violation of this section in the same manner and using the same procedures as the authority uses to impose disciplinary action on a provider who violates the authority's licensing or other regulatory laws or rules.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