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McQueeney,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Hancock)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4535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15,</w:t>
      </w:r>
      <w:r xml:space="preserve">
        <w:t> </w:t>
      </w:r>
      <w:r>
        <w:t xml:space="preserve">2025; May</w:t>
      </w:r>
      <w:r xml:space="preserve">
        <w:t> </w:t>
      </w:r>
      <w:r>
        <w:t xml:space="preserve">19,</w:t>
      </w:r>
      <w:r xml:space="preserve">
        <w:t> </w:t>
      </w:r>
      <w:r>
        <w:t xml:space="preserve">2025, read first time and referred to Committee on Health &amp; Human Services; May</w:t>
      </w:r>
      <w:r xml:space="preserve">
        <w:t> </w:t>
      </w:r>
      <w:r>
        <w:t xml:space="preserve">23,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7, Nays 1; May</w:t>
      </w:r>
      <w:r xml:space="preserve">
        <w:t> </w:t>
      </w:r>
      <w:r>
        <w:t xml:space="preserve">23,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Cook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COVID-19 vaccine administration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161, Health and Safety Code, is amended by adding Section 161.0086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161.0086.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COVID-19 VACCINATION ADMINISTRATION REQUIREMENTS.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"COVID-19" means the 2019 novel coronavirus disease.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provider" means an individual licensed or otherwise authorized by this state to administer vaccines.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administering a COVID-19 vaccination to an individual, a health care provider must obtain the individual's written informed consent, or if the individual is a minor or lacks the mental capacity to provide informed consent, the parent, guardian, or conservator who may provide written informed consent on the individual's behalf. </w:t>
      </w:r>
      <w:r>
        <w:rPr>
          <w:u w:val="single"/>
        </w:rPr>
        <w:t xml:space="preserve"> </w:t>
      </w:r>
      <w:r>
        <w:rPr>
          <w:u w:val="single"/>
        </w:rPr>
        <w:t xml:space="preserve">The informed consent required under this section must include an acknowledgment that the individual providing informed consent received the information sheet described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develop a standardized information sheet that includes information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benefits and risks associated with COVID-19 vaccination, including potential side effects;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expedited manner in which the COVID-19 vaccine was developed;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long-term scientific studies have been performed on the COVID-19 vaccine;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manufacturers of the COVID-19 vaccine are subject to civil liability for any injuries caused by the vaccine;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Vaccine Adverse Event Reporting System, including clear instructions for reporting any vaccine-related injury or reaction.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appropriate licensing authority may impose disciplinary action on a health care provider who administers a COVID-19 vaccination in violation of this section in the same manner and using the same procedures as the authority uses to impose disciplinary action on a provider who violates the authority's licensing or other regulatory laws or rules.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