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89R18497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no Texas moving image industry incentive program grants be used to fund inappropriate content or content that portrays Texas or Texans in a negative fashion and that moving image projects funded under the program conform to general standards of decency and respect the diverse beliefs and values of the citizens of Texas.</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and (h)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  The office may direct one or more disbursements from the incentive fund no more frequently than twice in any state fiscal year.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rPr>
          <w:u w:val="single"/>
        </w:rPr>
        <w:t xml:space="preserve">$500,000</w:t>
      </w:r>
      <w:r>
        <w:t xml:space="preserve"> [</w:t>
      </w:r>
      <w:r>
        <w:rPr>
          <w:strike/>
        </w:rPr>
        <w:t xml:space="preserve">$250,000</w:t>
      </w:r>
      <w:r>
        <w:t xml:space="preserve">]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$500,000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$500,000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may qualify for and receive more than one additional grant under Subsection (a)</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$500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and (h),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