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4623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of public schools and professional school employees for sexual misconduct involving students.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5, Civil Practice and Remedies Code, is amended by adding Chapter 118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118.  LIABILITY OF PUBLIC SCHOOLS AND PROFESSIONAL EMPLOYEES OF PUBLIC SCHOOLS FOR CERTAIN ACTS OR OMISSIONS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"Open-enrollment charter school" has the meaning assigned by Section 5.001, Education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"Professional school employee" includes: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superintendent or administrator serving as educational leader and chief executive officer of the school, principal or equivalent chief operating officer, teacher, including a substitute teacher, supervisor, social worker, school counselor, nurse, and teacher's aide employed by a public school;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teacher employed by a company that contracts with a public school to provide the teacher's services to the school;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student in an education preparation program participating in a field experience or internship;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bus driver certified in accordance with standards and qualifications adopted by the Department of Public Safety of the State of Texas;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member of the board of trustees of an independent school district or a member of the governing body of an open-enrollment charter school;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other person employed by a public school whose employment requires certification and the exercise of discretion.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"Public school" means an independent school district or an open-enrollment charter school.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"Sexual misconduct" means sexual abuse or conduct described by Section 20A.02, 21.02, 21.07, 21.08, 21.11, 21.12, 21.15, 21.16, 21.165, 21.17, 21.18, 21.19, 22.011, 22.012, 22.021, or 43.25, Penal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LIABILITY.  (a) </w:t>
      </w:r>
      <w:r>
        <w:rPr>
          <w:u w:val="single"/>
        </w:rPr>
        <w:t xml:space="preserve"> </w:t>
      </w:r>
      <w:r>
        <w:rPr>
          <w:u w:val="single"/>
        </w:rPr>
        <w:t xml:space="preserve">A public school that is grossly negligent or reckless, or engages in intentional misconduct, in hiring, supervising, or employing a professional school employee is liable for an act or omission that is committed by the employee against a student enrolled in the school and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sexual misconduct;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failure to report suspected child abuse or neglect under Section 261.101, Family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against a public school under this chapter, the professional school employee who committed the act or omission on which the claim is based must be named as a defendant.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DAMAGES.  A claimant who prevails in an action under this chapter shall be awarded actual damages in a maximum amount of $500,000 for each claimant.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 AND ATTORNEY'S FEES.  A party who prevails in an action under this chapter is entitled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reasonable and necessary attorney's fees.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REMEDIES NOT EXCLUSIVE.  The remedies authorized by this chapter are in addition to any other legal remedies.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WAIVER OF GOVERNMENTAL IMMUNITY; OFFICIAL IMMUNITY ABOLISHED.  (a) </w:t>
      </w:r>
      <w:r>
        <w:rPr>
          <w:u w:val="single"/>
        </w:rPr>
        <w:t xml:space="preserve"> </w:t>
      </w:r>
      <w:r>
        <w:rPr>
          <w:u w:val="single"/>
        </w:rPr>
        <w:t xml:space="preserve">A public school's governmental immunity to suit and from liability is waived to the extent of liability created by this 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professional school employee may not assert official immunity under Subchapter B, Chapter 22, Education Code, the common law, or any other law in an action brought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Chapter 118, Civil Practice and Remedies Code, as added by this Act, applies only to an act or omission that occurs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4623 was passed by the House on May 14, 2025, by the following vote:</w:t>
      </w:r>
      <w:r xml:space="preserve">
        <w:t> </w:t>
      </w:r>
      <w:r xml:space="preserve">
        <w:t> </w:t>
      </w:r>
      <w:r>
        <w:t xml:space="preserve">Yeas 109, Nays 19, 6 present, not voting; and that the House concurred in Senate amendments to H.B. No. 4623 on May 30, 2025, by the following vote:</w:t>
      </w:r>
      <w:r xml:space="preserve">
        <w:t> </w:t>
      </w:r>
      <w:r xml:space="preserve">
        <w:t> </w:t>
      </w:r>
      <w:r>
        <w:t xml:space="preserve">Yeas 108, Nays 26, 2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ind w:firstLine="720"/>
        <w:jc w:val="both"/>
      </w:pPr>
      <w:r>
        <w:t xml:space="preserve">I certify that H.B. No. 4623 was passed by the Senate, with amendments, on May 27, 2025, by the following vote:</w:t>
      </w:r>
      <w:r xml:space="preserve">
        <w:t> </w:t>
      </w:r>
      <w:r xml:space="preserve">
        <w:t> </w:t>
      </w:r>
      <w:r>
        <w:t xml:space="preserve">Yeas 30, Nays 1.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 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 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4623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