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89R25785 AMF-F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Little, Dutton,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4623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4623: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Leach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4623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liability of public schools and professional school employees for certain acts or omissions involving students.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5, Civil Practice and Remedies Code, is amended by adding Chapter 118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118. </w:t>
      </w:r>
      <w:r>
        <w:rPr>
          <w:u w:val="single"/>
        </w:rPr>
        <w:t xml:space="preserve"> </w:t>
      </w:r>
      <w:r>
        <w:rPr>
          <w:u w:val="single"/>
        </w:rPr>
        <w:t xml:space="preserve">LIABILITY OF PUBLIC SCHOOLS AND PROFESSIONAL EMPLOYEES OF PUBLIC SCHOOLS FOR CERTAIN ACTS OR OMISSIONS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"Open-enrollment charter school" has the meaning assigned by Section 5.001, Education Code.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"Professional school employee" includes: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superintendent or administrator serving as educational leader and chief executive officer of the school, principal or equivalent chief operating officer, teacher, including a substitute teacher, supervisor, social worker, school counselor, nurse, and teacher's aide employed by a public school;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teacher employed by a company that contracts with a public school to provide the teacher's services to the school;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student in an education preparation program participating in a field experience or internship;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school bus driver certified in accordance with standards and qualifications adopted by the Department of Public Safety of the State of Texas;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member of the board of trustees of an independent school district or a member of the governing body of an open-enrollment charter school;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other person employed by a public school whose employment requires certification and the exercise of discretion.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"Public school" means an independent school district or an open-enrollment charter school.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"Sexual misconduct" means sexual abuse or conduct described by Section 20A.02, 21.02, 21.07, 21.08, 21.11, 21.12, 21.15, 21.16, 21.165, 21.17, 21.18, 21.19, 22.011, 22.012, 22.021, or 43.25, Penal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LIABILITY.  (a) </w:t>
      </w:r>
      <w:r>
        <w:rPr>
          <w:u w:val="single"/>
        </w:rPr>
        <w:t xml:space="preserve"> </w:t>
      </w:r>
      <w:r>
        <w:rPr>
          <w:u w:val="single"/>
        </w:rPr>
        <w:t xml:space="preserve">A public school is liable for an act or omission that is committed by a professional school employee against a student enrolled in the school and that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sexual misconduct;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failure to report suspected child abuse or neglect under Section 261.101, Family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against a public school under this chapter, the professional school employee who committed the act or omission on which the claim is based must be named as a defendant.  The public school and the professional school employee are jointly and severally liable for an award in an action under this 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DAMAGES.  A claimant who prevails in an action under this chapter shall be awarded: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actual damages;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reasonable and necessary attorney's fees.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REMEDIES NOT EXCLUSIVE.  The remedies authorized by this chapter are in addition to any other legal remedies.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WAIVER OF GOVERNMENTAL IMMUNITY; OFFICIAL IMMUNITY ABOLISHED.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A public school's governmental immunity to suit and from liability is waived to the extent of liability created by this 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professional school employee may not assert official immunity under Subchapter B, Chapter 22, Education Code, the common law, or any other law in an action brought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Chapter 118, Civil Practice and Remedies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4623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