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Little, et al.</w:t>
      </w:r>
      <w:r>
        <w:t xml:space="preserve"> (Senate Sponsor</w:t>
      </w:r>
      <w:r xml:space="preserve">
        <w:t> </w:t>
      </w:r>
      <w:r>
        <w:t xml:space="preserve">-</w:t>
      </w:r>
      <w:r xml:space="preserve">
        <w:t> </w:t>
      </w:r>
      <w:r>
        <w:t xml:space="preserve">Paxton, et al.)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4623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Received from the House May</w:t>
      </w:r>
      <w:r xml:space="preserve">
        <w:t> </w:t>
      </w:r>
      <w:r>
        <w:t xml:space="preserve">15,</w:t>
      </w:r>
      <w:r xml:space="preserve">
        <w:t> </w:t>
      </w:r>
      <w:r>
        <w:t xml:space="preserve">2025; May</w:t>
      </w:r>
      <w:r xml:space="preserve">
        <w:t> </w:t>
      </w:r>
      <w:r>
        <w:t xml:space="preserve">16,</w:t>
      </w:r>
      <w:r xml:space="preserve">
        <w:t> </w:t>
      </w:r>
      <w:r>
        <w:t xml:space="preserve">2025, read first time and referred to Committee on Education K-16; May</w:t>
      </w:r>
      <w:r xml:space="preserve">
        <w:t> </w:t>
      </w:r>
      <w:r>
        <w:t xml:space="preserve">26,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11, Nays 0; May</w:t>
      </w:r>
      <w:r xml:space="preserve">
        <w:t> </w:t>
      </w:r>
      <w:r>
        <w:t xml:space="preserve">26,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Creighton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Campbell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Hagenbuch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Nueces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Menéndez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H.B.</w:t>
      </w:r>
      <w:r xml:space="preserve">
        <w:t> </w:t>
      </w:r>
      <w:r>
        <w:t xml:space="preserve">No.</w:t>
      </w:r>
      <w:r xml:space="preserve">
        <w:t> </w:t>
      </w:r>
      <w:r>
        <w:t xml:space="preserve">4623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Bettencourt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liability of public schools and professional school employees for sexual misconduct involving students.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 </w:t>
      </w:r>
      <w:r>
        <w:t xml:space="preserve"> </w:t>
      </w:r>
      <w:r>
        <w:t xml:space="preserve">Title 5, Civil Practice and Remedies Code, is amended by adding Chapter 118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118. </w:t>
      </w:r>
      <w:r>
        <w:rPr>
          <w:u w:val="single"/>
        </w:rPr>
        <w:t xml:space="preserve"> </w:t>
      </w:r>
      <w:r>
        <w:rPr>
          <w:u w:val="single"/>
        </w:rPr>
        <w:t xml:space="preserve">LIABILITY OF PUBLIC SCHOOLS AND PROFESSIONAL EMPLOYEES OF PUBLIC SCHOOLS FOR CERTAIN ACTS OR OMISSIONS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"Open-enrollment charter school" has the meaning assigned by Section 5.001, Education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"Professional school employee" includes: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superintendent or administrator serving as educational leader and chief executive officer of the school, principal or equivalent chief operating officer, teacher, including a substitute teacher, supervisor, social worker, school counselor, nurse, and teacher's aide employed by a public school;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teacher employed by a company that contracts with a public school to provide the teacher's services to the school;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student in an education preparation program participating in a field experience or internship;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school bus driver certified in accordance with standards and qualifications adopted by the Department of Public  Safety of the State of Texas;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 </w:t>
      </w:r>
      <w:r>
        <w:rPr>
          <w:u w:val="single"/>
        </w:rPr>
        <w:t xml:space="preserve">a member of the board of trustees of an independent school district or a member of the governing body of an open-enrollment charter school;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other person employed by a public school whose employment requires certification and the exercise of discretion.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"Public school" means an independent school district or an open-enrollment charter school.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"Sexual misconduct" means sexual abuse or conduct  described by Section 20A.02, 21.02, 21.07, 21.08, 21.11, 21.12,  21.15, 21.16, 21.165, 21.17, 21.18, 21.19, 22.011, 22.012, 22.021, or 43.25, Penal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LIABILITY.  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public school that is grossly negligent or reckless, or engages in intentional misconduct, in hiring, supervising, or employing a professional school employee is liable for an act or omission that is committed by a  professional school employee against a student enrolled in the school and that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rPr>
          <w:u w:val="single"/>
        </w:rPr>
        <w:t xml:space="preserve">sexual misconduct;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rPr>
          <w:u w:val="single"/>
        </w:rPr>
        <w:t xml:space="preserve">failure to report suspected child abuse or neglect under Section 261.101, Family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against a public school under this chapter, the professional school employee who committed the act or omission on which the claim is based must be named as a defendant.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DAMAGES.  A claimant who prevails in an action under this chapter shall be awarded money damages in a maximum amount of $500,000 for each claimant.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COURT COSTS AND ATTORNEY'S FEES. </w:t>
      </w:r>
      <w:r>
        <w:rPr>
          <w:u w:val="single"/>
        </w:rPr>
        <w:t xml:space="preserve"> </w:t>
      </w:r>
      <w:r>
        <w:rPr>
          <w:u w:val="single"/>
        </w:rPr>
        <w:t xml:space="preserve">A party who prevails in an action under this chapter is entitled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court costs;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reasonable and necessary attorney's fees.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REMEDIES NOT EXCLUSIVE.  The remedies authorized by this chapter are in addition to any other legal remedies.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WAIVER OF GOVERNMENTAL IMMUNITY; OFFICIAL IMMUNITY ABOLISHED. </w:t>
      </w:r>
      <w:r>
        <w:rPr>
          <w:u w:val="single"/>
        </w:rPr>
        <w:t xml:space="preserve"> </w:t>
      </w: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public school's governmental immunity to suit and from liability is waived to the extent of liability created by this 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professional school employee may not assert official immunity under Subchapter B, Chapter 22, Education Code, the common law, or any other law in an action brought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Chapter 118, Civil Practice and Remedies Code, as added by this Act, applies only to an act or omission that occurs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4623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