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 et al.</w:t>
      </w:r>
      <w:r>
        <w:t xml:space="preserve"> (Senate Sponsor</w:t>
      </w:r>
      <w:r xml:space="preserve">
        <w:t> </w:t>
      </w:r>
      <w:r>
        <w:t xml:space="preserve">-</w:t>
      </w:r>
      <w:r xml:space="preserve">
        <w:t> </w:t>
      </w:r>
      <w:r>
        <w:t xml:space="preserve">Schwertner)</w:t>
      </w:r>
      <w:r xml:space="preserve">
        <w:tab wTab="150" tlc="none" cTlc="0"/>
      </w:r>
      <w:r>
        <w:t xml:space="preserve">H.B.</w:t>
      </w:r>
      <w:r xml:space="preserve">
        <w:t> </w:t>
      </w:r>
      <w:r>
        <w:t xml:space="preserve">No.</w:t>
      </w:r>
      <w:r xml:space="preserve">
        <w:t> </w:t>
      </w:r>
      <w:r>
        <w:t xml:space="preserve">4668</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7,</w:t>
      </w:r>
      <w:r xml:space="preserve">
        <w:t> </w:t>
      </w:r>
      <w:r>
        <w:t xml:space="preserve">2025; May</w:t>
      </w:r>
      <w:r xml:space="preserve">
        <w:t> </w:t>
      </w:r>
      <w:r>
        <w:t xml:space="preserve">15,</w:t>
      </w:r>
      <w:r xml:space="preserve">
        <w:t> </w:t>
      </w:r>
      <w:r>
        <w:t xml:space="preserve">2025, read first time and referred to Committee on Business &amp; Commerce; May</w:t>
      </w:r>
      <w:r xml:space="preserve">
        <w:t> </w:t>
      </w:r>
      <w:r>
        <w:t xml:space="preserve">22,</w:t>
      </w:r>
      <w:r xml:space="preserve">
        <w:t> </w:t>
      </w:r>
      <w:r>
        <w:t xml:space="preserve">2025, reported favorably by the following vote:</w:t>
      </w:r>
      <w:r>
        <w:t xml:space="preserve"> </w:t>
      </w:r>
      <w:r>
        <w:t xml:space="preserve"> </w:t>
      </w:r>
      <w:r>
        <w:t xml:space="preserve">Yeas 11,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the Public Utility Commission of Texas to retain assistance for regional proceedings affecting certain electric utilities and consumers.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39, Utilities Code, is amended by adding Section 39.004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39.004.</w:t>
      </w:r>
      <w:r>
        <w:rPr>
          <w:u w:val="single"/>
        </w:rPr>
        <w:t xml:space="preserve"> </w:t>
      </w:r>
      <w:r>
        <w:rPr>
          <w:u w:val="single"/>
        </w:rPr>
        <w:t xml:space="preserve"> </w:t>
      </w:r>
      <w:r>
        <w:rPr>
          <w:u w:val="single"/>
        </w:rPr>
        <w:t xml:space="preserve">HIRING ASSISTANCE FOR REGIONAL PROCEEDINGS.  (a)  The commission may retain any consultant, accountant, auditor, engineer, or attorney the commission considers necessary to represent the commission in a proceeding before a regional transmission organization, or before a court reviewing proceedings of a regional transmission organization, related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relationship of an electric utility to a power region, regional transmission organization, or independent system operator;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approval of an agreement among an electric utility and the electric utility's affiliates concerning the coordination of the operations of the electric utility and the electric utility's affiliates;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matters related to an electric utility that may affect the ultimate rates paid by retail customers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Assistance for which a consultant, accountant, auditor, engineer, or attorney may be retained under Subsection (a) may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conducting a study;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conducting an investigation;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presenting evidence;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advising the commission;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representing the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electric utility that is the subject of the proceeding shall pay timely the reasonable costs of the services of a person retained under Subsection (a), as determined by the commission.  The total costs an electric utility is required to pay under this subsection may not exceed $1.5 million in a 12-month period.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allow an electric utility to recover both the total costs the electric utility paid under Subsection (c) and the carrying charges for those costs through a rider established annually to recover the costs paid and carrying charges incurred during the preceding calendar year.  The rider may not be implemented before the rider is reviewed and approved by 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shall consult the attorney general before the commission retains a consultant, accountant, auditor, or engineer under Subsection (a).  The retention of an attorney under Subsection (a) is subject to the approval of the attorney general under Section 402.0212, Government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be precluded from engaging any individual who is required to register under Section 305.003,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Notwithstanding Sections 39.402(a), 39.452(d), and 39.502(b), this section applies to an electric utility to which Subchapter I, J, or K applies.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