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89R21284 CXP-D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H.B.</w:t>
      </w:r>
      <w:r xml:space="preserve">
        <w:t> </w:t>
      </w:r>
      <w:r>
        <w:t xml:space="preserve">No.</w:t>
      </w:r>
      <w:r xml:space="preserve">
        <w:t> </w:t>
      </w:r>
      <w:r>
        <w:t xml:space="preserve">4762</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4762:</w:t>
      </w: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C.S.H.B.</w:t>
      </w:r>
      <w:r xml:space="preserve">
        <w:t> </w:t>
      </w:r>
      <w:r>
        <w:t xml:space="preserve">No.</w:t>
      </w:r>
      <w:r xml:space="preserve">
        <w:t> </w:t>
      </w:r>
      <w:r>
        <w:t xml:space="preserve">4762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in this state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research security officer designated under Section 51.956;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research security officer designated by each private or independent institution of higher education, as defined by Section 61.003, that elects to participate in the council.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shall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shall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must be used to prevent the loss of intellectual capital.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meeting conducted under Subsection (h) must be in person or by video conference call, as determined by the presiding officer.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council shall prepare and submit to the governor, the attorney general's office, and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report submitted under Subsection (j) is confidential and is not subject to disclosure under Chapter 552, Government Code.</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an entity or country: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prohibited from participating in federal contracts under Section 889, John S. McCain National Defense Authorization Act for Fiscal Year 2019 (Pub. L. No. 115-232);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identified as a Chinese military company by the United States Department of Defense in accordance with Section 1260H, William M. (Mac) Thornberry National Defense Authorization Act for Fiscal Year 2021 (Pub. L. No. 116-283);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owned by the government of a country designated as a foreign adversary by the United States secretary of commerce under 15 C.F.R. Section 791.4;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by a governing or regulatory body located in a country described by Subdivision (3).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4762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