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89R22969 CS-F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4809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an owner of property that qualifies for an exemption as a historic or archaeological site to protest the allocation of the appraised value of the property between the land and the improvements to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11.24, Tax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a structure or archeological site and land subject to an exemption under this section, the property owner may protest the appraised value of the structure or archeological site and the appraised value of the land separately. A property owner may protest the allocation of appraised value between the structure or archeological site and the land.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41.41(a), Tax Code, as effective until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(4-a)  determination that the owner's property does not qualify for the circuit breaker limitation on appraised value provided by Section 23.231;</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41.41(a), Tax Code, as effective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archaeological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protest under Chapter 41, Tax Code, for which a notice of protest is filed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