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4996</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increasing the criminal penalty for the offense of refusal to execute the release of a fraudulent lien or claim.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32.49(c), Penal Code, is amended to read as follows:</w:t>
      </w:r>
    </w:p>
    <w:p w:rsidR="003F3435" w:rsidRDefault="0032493E">
      <w:pPr>
        <w:spacing w:line="480" w:lineRule="auto"/>
        <w:ind w:firstLine="720"/>
        <w:jc w:val="both"/>
      </w:pPr>
      <w:r>
        <w:t xml:space="preserve">(c)</w:t>
      </w:r>
      <w:r xml:space="preserve">
        <w:t> </w:t>
      </w:r>
      <w:r xml:space="preserve">
        <w:t> </w:t>
      </w:r>
      <w:r>
        <w:t xml:space="preserve">An offense under this section is a Class A misdemeanor</w:t>
      </w:r>
      <w:r>
        <w:rPr>
          <w:u w:val="single"/>
        </w:rPr>
        <w:t xml:space="preserve">, except that the offense is a felony of the third degree if the owner of the real or personal property subject to the fraudulent lien or claim is a person the actor knows is a public servant</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w:t>
      </w:r>
      <w:r>
        <w:t xml:space="preserve"> </w:t>
      </w:r>
      <w:r>
        <w:t xml:space="preserve">An offense committed before the effective date of this Act is governed by the law in effect on the date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4996 was passed by the House on May 7, 2025, by the following vote:</w:t>
      </w:r>
      <w:r xml:space="preserve">
        <w:t> </w:t>
      </w:r>
      <w:r xml:space="preserve">
        <w:t> </w:t>
      </w:r>
      <w:r>
        <w:t xml:space="preserve">Yeas 144, Nays 4,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4996 was passed by the Senate on May 23, 2025, by the following vote:</w:t>
      </w:r>
      <w:r xml:space="preserve">
        <w:t> </w:t>
      </w:r>
      <w:r xml:space="preserve">
        <w:t> </w:t>
      </w:r>
      <w:r>
        <w:t xml:space="preserve">Yeas 30, Nays 1.</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4996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