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89R13867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w:t>
      </w:r>
      <w:r xml:space="preserve">
        <w:tab wTab="150" tlc="none" cTlc="0"/>
      </w:r>
      <w:r>
        <w:t xml:space="preserve">H.B.</w:t>
      </w:r>
      <w:r xml:space="preserve">
        <w:t> </w:t>
      </w:r>
      <w:r>
        <w:t xml:space="preserve">No.</w:t>
      </w:r>
      <w:r xml:space="preserve">
        <w:t> </w:t>
      </w:r>
      <w:r>
        <w:t xml:space="preserve">4996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the offense of refusal to execute the release of a fraudulent lien or claim.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32.49(c), Penal Code, is amended to read as follows:</w:t>
      </w:r>
    </w:p>
    <w:p w:rsidR="003F3435" w:rsidRDefault="0032493E">
      <w:pPr>
        <w:spacing w:line="480" w:lineRule="auto"/>
        <w:ind w:firstLine="720"/>
        <w:jc w:val="both"/>
      </w:pPr>
      <w:r>
        <w:t xml:space="preserve">(c)</w:t>
      </w:r>
      <w:r xml:space="preserve">
        <w:t> </w:t>
      </w:r>
      <w:r xml:space="preserve">
        <w:t> </w:t>
      </w:r>
      <w:r>
        <w:t xml:space="preserve">An offense under this section is a Class A misdemeanor</w:t>
      </w:r>
      <w:r>
        <w:rPr>
          <w:u w:val="single"/>
        </w:rPr>
        <w:t xml:space="preserve">, except that the offense is a felony of the third degree if the owner of the real or personal property subject to the fraudulent lien or claim is a person the actor knows is a public servant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4996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