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89R25363 JAM-D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Kaufman, Guillen, Toth, Hayes,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Olcott, 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this state to implement a motor vehicle emissions inspection and maintenance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382, Health and Safety Code, is amended by adding Section 382.2025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382.2025.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IMPLEMENTATION OF PROGRAM.  Notwithstanding any other law, the commission and the Department of Public Safety are not required to implement or enforce any other provision of this subchapter or a requirement under Chapter 548, Transportation Code, related to emissions inspections.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otherwise provided by this section, this Act takes effect September 1, 2025.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 of this Act takes effect on the 30th day after the date: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of the issuance of a United States Supreme Court judgment that recognizes the authority of the states to prohibit vehicle emissions inspection and maintenance programs or to solely regulate vehicle emissions;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of the adoption of an amendment to the United States Constitution giving states the authority to prohibit vehicle emissions inspection and maintenance programs or to solely regulate vehicle emissions.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an action described by Subsection (b) of this section does not occur, Section 1 of this Act has no effect.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