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89R17422 JAM-D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Kaufman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5033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elimination of the motor vehicle emissions inspection and maintenance program.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G, Chapter 382, Health and Safety Code, is amended by adding Section 382.2025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382.2025.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ELIMINATION OF PROGRAM.  Notwithstanding any other law, the commission and the Department of Public Safety may not implement or enforce any other provision of this subchapter or a requirement under Chapter 548, Transportation Code, related to emissions inspections.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(a) </w:t>
      </w:r>
      <w:r>
        <w:t xml:space="preserve"> </w:t>
      </w:r>
      <w:r>
        <w:t xml:space="preserve">Except as otherwise provided by this section, this Act takes effect September 1, 2025.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Section 1 of this Act takes effect on the 30th day after the date: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United States Congress enacts legislation that becomes law that repeals the federal Clean Air Act (42 U.S.C. Section 7401 et seq.) or amends it in a way that the motor vehicle emissions inspection and maintenance program established under Subchapter G, Chapter 382, Health and Safety Code, is no longer required;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of the issuance of a United States Supreme Court judgment that recognizes the authority of the states to prohibit vehicle emissions inspection and maintenance programs;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of the adoption of an amendment to the United States Constitution giving states the authority to prohibit vehicle emissions inspection and maintenance programs.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If an action described by Subsection (b) of this section does not occur, Section 1 of this Act has no effect.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5033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