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89R1175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5102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applicability of certain prescription drug insurance laws to health benefit plans and pharmacy benefit managers.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1369, Insurance Code, is amended by adding Section 1369.5515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1369.5515.</w:t>
      </w:r>
      <w:r>
        <w:rPr>
          <w:u w:val="single"/>
        </w:rPr>
        <w:t xml:space="preserve"> </w:t>
      </w:r>
      <w:r>
        <w:rPr>
          <w:u w:val="single"/>
        </w:rPr>
        <w:t xml:space="preserve"> </w:t>
      </w:r>
      <w:r>
        <w:rPr>
          <w:u w:val="single"/>
        </w:rPr>
        <w:t xml:space="preserve">APPLICABILITY OF SUBCHAPTER.  (a)  Except as provided by this subsection, a pharmacy benefit manager must comply with the provisions of this subchapter with respect to each health benefit plan administered by the pharmacy benefit manager, regardless of whether a provision of this subchapter is specifically made applicable to the plan.  A pharmacy benefit manager is not required to comply with a provision of this subchapter with respect to a plan expressly excluded by this subchapter from the applicability of the provision.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a health benefit plan provided to a resident of this state, regardless of whether the plan, policy, agreement, or contract is delivered, issued for delivery, or renewed within or outside this state and to the pharmacy benefit manager for that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1369.602, Insurance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subsection, a pharmacy benefit manager must comply with the provisions of this subchapter with respect to each health benefit plan administered by the pharmacy benefit manager, regardless of whether a provision of this subchapter is specifically made applicable to the plan.  A pharmacy benefit manager is not required to comply with a provision of this subchapter with respect to a plan expressly excluded by this subchapter from the applicability of the provision.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subchapter applies to a health benefit plan provided to a resident of this state, regardless of whether the plan, policy, agreement, or contract is delivered, issued for delivery, or renewed within or outside this state and to the pharmacy benefit manager for that plan.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commissioner of insurance shall repeal all rules that are inconsistent with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health benefit plan that is delivered, issued for delivery, or renewed on or after January 1, 2026.  A health benefit plan delivered, issued for delivery, or renewed before January 1, 2026,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